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326"/>
      </w:tblGrid>
      <w:tr w:rsidR="002719A6" w:rsidTr="005B1642">
        <w:trPr>
          <w:trHeight w:val="2117"/>
          <w:jc w:val="center"/>
        </w:trPr>
        <w:tc>
          <w:tcPr>
            <w:tcW w:w="1387" w:type="dxa"/>
            <w:tcBorders>
              <w:top w:val="single" w:sz="4" w:space="0" w:color="auto"/>
              <w:left w:val="single" w:sz="4" w:space="0" w:color="auto"/>
              <w:bottom w:val="single" w:sz="4" w:space="0" w:color="auto"/>
              <w:right w:val="nil"/>
            </w:tcBorders>
            <w:hideMark/>
          </w:tcPr>
          <w:p w:rsidR="002719A6" w:rsidRDefault="002719A6" w:rsidP="00B81102">
            <w:pPr>
              <w:rPr>
                <w:rFonts w:ascii="Verdana" w:hAnsi="Verdana"/>
                <w:b/>
                <w:szCs w:val="24"/>
              </w:rPr>
            </w:pPr>
            <w:bookmarkStart w:id="0" w:name="_GoBack"/>
            <w:bookmarkEnd w:id="0"/>
            <w:r>
              <w:rPr>
                <w:rFonts w:ascii="Verdana" w:hAnsi="Verdana"/>
                <w:b/>
                <w:noProof/>
              </w:rPr>
              <w:drawing>
                <wp:inline distT="0" distB="0" distL="0" distR="0">
                  <wp:extent cx="684382" cy="854016"/>
                  <wp:effectExtent l="19050" t="0" r="1418" b="0"/>
                  <wp:docPr id="2"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8" r:link="rId9" cstate="print"/>
                          <a:srcRect/>
                          <a:stretch>
                            <a:fillRect/>
                          </a:stretch>
                        </pic:blipFill>
                        <pic:spPr bwMode="auto">
                          <a:xfrm>
                            <a:off x="0" y="0"/>
                            <a:ext cx="692345" cy="863952"/>
                          </a:xfrm>
                          <a:prstGeom prst="rect">
                            <a:avLst/>
                          </a:prstGeom>
                          <a:noFill/>
                          <a:ln w="9525">
                            <a:noFill/>
                            <a:miter lim="800000"/>
                            <a:headEnd/>
                            <a:tailEnd/>
                          </a:ln>
                        </pic:spPr>
                      </pic:pic>
                    </a:graphicData>
                  </a:graphic>
                </wp:inline>
              </w:drawing>
            </w:r>
          </w:p>
        </w:tc>
        <w:tc>
          <w:tcPr>
            <w:tcW w:w="6326" w:type="dxa"/>
            <w:tcBorders>
              <w:top w:val="single" w:sz="4" w:space="0" w:color="auto"/>
              <w:left w:val="nil"/>
              <w:bottom w:val="single" w:sz="4" w:space="0" w:color="auto"/>
              <w:right w:val="single" w:sz="4" w:space="0" w:color="auto"/>
            </w:tcBorders>
          </w:tcPr>
          <w:p w:rsidR="005B1642" w:rsidRDefault="005B1642" w:rsidP="00B81102">
            <w:pPr>
              <w:contextualSpacing/>
              <w:jc w:val="center"/>
              <w:rPr>
                <w:rFonts w:ascii="Verdana" w:hAnsi="Verdana"/>
                <w:b/>
                <w:sz w:val="28"/>
                <w:szCs w:val="28"/>
              </w:rPr>
            </w:pPr>
          </w:p>
          <w:p w:rsidR="002719A6" w:rsidRPr="005B1642" w:rsidRDefault="002719A6" w:rsidP="00B81102">
            <w:pPr>
              <w:contextualSpacing/>
              <w:jc w:val="center"/>
              <w:rPr>
                <w:rFonts w:ascii="Verdana" w:hAnsi="Verdana"/>
                <w:b/>
                <w:sz w:val="28"/>
                <w:szCs w:val="28"/>
              </w:rPr>
            </w:pPr>
            <w:r w:rsidRPr="005B1642">
              <w:rPr>
                <w:rFonts w:ascii="Verdana" w:hAnsi="Verdana"/>
                <w:b/>
                <w:sz w:val="28"/>
                <w:szCs w:val="28"/>
              </w:rPr>
              <w:t>Greenfields School</w:t>
            </w:r>
          </w:p>
          <w:p w:rsidR="002719A6" w:rsidRPr="005B1642" w:rsidRDefault="002719A6" w:rsidP="00B81102">
            <w:pPr>
              <w:contextualSpacing/>
              <w:jc w:val="center"/>
              <w:rPr>
                <w:rFonts w:ascii="Verdana" w:hAnsi="Verdana"/>
                <w:b/>
                <w:sz w:val="28"/>
                <w:szCs w:val="28"/>
              </w:rPr>
            </w:pPr>
            <w:r w:rsidRPr="005B1642">
              <w:rPr>
                <w:rFonts w:ascii="Verdana" w:hAnsi="Verdana"/>
                <w:b/>
                <w:sz w:val="28"/>
                <w:szCs w:val="28"/>
              </w:rPr>
              <w:t>Policy for</w:t>
            </w:r>
          </w:p>
          <w:p w:rsidR="002719A6" w:rsidRDefault="002719A6" w:rsidP="002719A6">
            <w:pPr>
              <w:contextualSpacing/>
              <w:jc w:val="center"/>
              <w:rPr>
                <w:rFonts w:ascii="Verdana" w:hAnsi="Verdana"/>
                <w:b/>
                <w:szCs w:val="24"/>
              </w:rPr>
            </w:pPr>
            <w:r w:rsidRPr="005B1642">
              <w:rPr>
                <w:rFonts w:ascii="Verdana" w:hAnsi="Verdana"/>
                <w:b/>
                <w:sz w:val="28"/>
                <w:szCs w:val="28"/>
              </w:rPr>
              <w:t>Safeguarding (Child Protection)</w:t>
            </w:r>
          </w:p>
        </w:tc>
      </w:tr>
    </w:tbl>
    <w:p w:rsidR="00515824" w:rsidRDefault="00515824" w:rsidP="00B81102">
      <w:pPr>
        <w:spacing w:before="100" w:beforeAutospacing="1" w:after="100" w:afterAutospacing="1" w:line="240" w:lineRule="auto"/>
        <w:jc w:val="center"/>
        <w:rPr>
          <w:rFonts w:ascii="Verdana" w:eastAsia="Times New Roman" w:hAnsi="Verdana" w:cs="Times New Roman"/>
          <w:i/>
          <w:sz w:val="20"/>
          <w:szCs w:val="20"/>
        </w:rPr>
      </w:pPr>
      <w:r>
        <w:rPr>
          <w:rFonts w:ascii="Verdana" w:eastAsia="Times New Roman" w:hAnsi="Verdana" w:cs="Times New Roman"/>
          <w:i/>
          <w:sz w:val="20"/>
          <w:szCs w:val="20"/>
        </w:rPr>
        <w:t xml:space="preserve">To be read in conjunction with </w:t>
      </w:r>
    </w:p>
    <w:p w:rsidR="00515824" w:rsidRDefault="00515824" w:rsidP="00515824">
      <w:pPr>
        <w:spacing w:before="100" w:beforeAutospacing="1" w:after="100" w:afterAutospacing="1" w:line="240" w:lineRule="auto"/>
        <w:contextualSpacing/>
        <w:jc w:val="center"/>
        <w:rPr>
          <w:rFonts w:ascii="Verdana" w:eastAsia="Times New Roman" w:hAnsi="Verdana" w:cs="Times New Roman"/>
          <w:i/>
          <w:sz w:val="20"/>
          <w:szCs w:val="20"/>
        </w:rPr>
      </w:pPr>
      <w:r>
        <w:rPr>
          <w:rFonts w:ascii="Verdana" w:eastAsia="Times New Roman" w:hAnsi="Verdana" w:cs="Times New Roman"/>
          <w:i/>
          <w:sz w:val="20"/>
          <w:szCs w:val="20"/>
        </w:rPr>
        <w:t>The</w:t>
      </w:r>
      <w:r w:rsidR="00B81102">
        <w:rPr>
          <w:rFonts w:ascii="Verdana" w:eastAsia="Times New Roman" w:hAnsi="Verdana" w:cs="Times New Roman"/>
          <w:i/>
          <w:sz w:val="20"/>
          <w:szCs w:val="20"/>
        </w:rPr>
        <w:t xml:space="preserve"> </w:t>
      </w:r>
      <w:proofErr w:type="spellStart"/>
      <w:r w:rsidR="00B81102">
        <w:rPr>
          <w:rFonts w:ascii="Verdana" w:eastAsia="Times New Roman" w:hAnsi="Verdana" w:cs="Times New Roman"/>
          <w:i/>
          <w:sz w:val="20"/>
          <w:szCs w:val="20"/>
        </w:rPr>
        <w:t>DfE</w:t>
      </w:r>
      <w:proofErr w:type="spellEnd"/>
      <w:r w:rsidR="00B81102">
        <w:rPr>
          <w:rFonts w:ascii="Verdana" w:eastAsia="Times New Roman" w:hAnsi="Verdana" w:cs="Times New Roman"/>
          <w:i/>
          <w:sz w:val="20"/>
          <w:szCs w:val="20"/>
        </w:rPr>
        <w:t xml:space="preserve"> </w:t>
      </w:r>
      <w:r w:rsidR="00CA72FE">
        <w:rPr>
          <w:rFonts w:ascii="Verdana" w:eastAsia="Times New Roman" w:hAnsi="Verdana" w:cs="Times New Roman"/>
          <w:i/>
          <w:sz w:val="20"/>
          <w:szCs w:val="20"/>
        </w:rPr>
        <w:t xml:space="preserve">Guidance </w:t>
      </w:r>
      <w:r w:rsidR="00B81102" w:rsidRPr="00B81102">
        <w:rPr>
          <w:rFonts w:ascii="Verdana" w:eastAsia="Times New Roman" w:hAnsi="Verdana" w:cs="Times New Roman"/>
          <w:i/>
          <w:sz w:val="20"/>
          <w:szCs w:val="20"/>
        </w:rPr>
        <w:t>Keeping Children Safe in Education</w:t>
      </w:r>
      <w:r w:rsidR="00B81102">
        <w:rPr>
          <w:rFonts w:ascii="Verdana" w:eastAsia="Times New Roman" w:hAnsi="Verdana" w:cs="Times New Roman"/>
          <w:i/>
          <w:sz w:val="20"/>
          <w:szCs w:val="20"/>
        </w:rPr>
        <w:t xml:space="preserve"> </w:t>
      </w:r>
      <w:r w:rsidR="00CA72FE">
        <w:rPr>
          <w:rFonts w:ascii="Verdana" w:eastAsia="Times New Roman" w:hAnsi="Verdana" w:cs="Times New Roman"/>
          <w:i/>
          <w:sz w:val="20"/>
          <w:szCs w:val="20"/>
        </w:rPr>
        <w:t xml:space="preserve">2018 (KCSIE) Statutory </w:t>
      </w:r>
      <w:r w:rsidR="00B81102">
        <w:rPr>
          <w:rFonts w:ascii="Verdana" w:eastAsia="Times New Roman" w:hAnsi="Verdana" w:cs="Times New Roman"/>
          <w:i/>
          <w:sz w:val="20"/>
          <w:szCs w:val="20"/>
        </w:rPr>
        <w:t>Guidance for Schools</w:t>
      </w:r>
    </w:p>
    <w:p w:rsidR="00515824" w:rsidRDefault="00515824" w:rsidP="00515824">
      <w:pPr>
        <w:spacing w:before="100" w:beforeAutospacing="1" w:after="100" w:afterAutospacing="1" w:line="240" w:lineRule="auto"/>
        <w:contextualSpacing/>
        <w:jc w:val="center"/>
        <w:rPr>
          <w:rFonts w:ascii="Verdana" w:eastAsia="Times New Roman" w:hAnsi="Verdana" w:cs="Times New Roman"/>
          <w:i/>
          <w:sz w:val="20"/>
          <w:szCs w:val="20"/>
        </w:rPr>
      </w:pPr>
      <w:proofErr w:type="gramStart"/>
      <w:r>
        <w:rPr>
          <w:rFonts w:ascii="Verdana" w:eastAsia="Times New Roman" w:hAnsi="Verdana" w:cs="Times New Roman"/>
          <w:i/>
          <w:sz w:val="20"/>
          <w:szCs w:val="20"/>
        </w:rPr>
        <w:t>and</w:t>
      </w:r>
      <w:proofErr w:type="gramEnd"/>
    </w:p>
    <w:p w:rsidR="00515824" w:rsidRDefault="00515824" w:rsidP="00515824">
      <w:pPr>
        <w:spacing w:before="100" w:beforeAutospacing="1" w:after="100" w:afterAutospacing="1" w:line="240" w:lineRule="auto"/>
        <w:contextualSpacing/>
        <w:jc w:val="center"/>
        <w:rPr>
          <w:rFonts w:ascii="Verdana" w:eastAsia="Times New Roman" w:hAnsi="Verdana" w:cs="Times New Roman"/>
          <w:i/>
          <w:sz w:val="20"/>
          <w:szCs w:val="20"/>
        </w:rPr>
      </w:pPr>
      <w:r>
        <w:rPr>
          <w:rFonts w:ascii="Verdana" w:eastAsia="Times New Roman" w:hAnsi="Verdana" w:cs="Times New Roman"/>
          <w:i/>
          <w:sz w:val="20"/>
          <w:szCs w:val="20"/>
        </w:rPr>
        <w:t>Tri-X Policy</w:t>
      </w:r>
    </w:p>
    <w:p w:rsidR="0011117F" w:rsidRPr="00B81102" w:rsidRDefault="0011117F" w:rsidP="00515824">
      <w:pPr>
        <w:pStyle w:val="Default"/>
        <w:jc w:val="both"/>
        <w:rPr>
          <w:rFonts w:ascii="Verdana" w:eastAsia="Times New Roman" w:hAnsi="Verdana" w:cs="Times New Roman"/>
          <w:sz w:val="22"/>
          <w:szCs w:val="22"/>
        </w:rPr>
      </w:pPr>
      <w:r w:rsidRPr="00B81102">
        <w:rPr>
          <w:rFonts w:ascii="Verdana" w:eastAsia="Times New Roman" w:hAnsi="Verdana" w:cs="Times New Roman"/>
          <w:sz w:val="22"/>
          <w:szCs w:val="22"/>
        </w:rPr>
        <w:t>Greenfields is committed to providing a safe and secure environment for children, staff and visitors and promoting a climate where children and adults will feel confident about sharing any concerns which they may have about their own safety or the well-being of others. We aim to safeguard and promote the welfare of children by protecting them from mistreatment; pre</w:t>
      </w:r>
      <w:r w:rsidR="00D96E3B" w:rsidRPr="00B81102">
        <w:rPr>
          <w:rFonts w:ascii="Verdana" w:eastAsia="Times New Roman" w:hAnsi="Verdana" w:cs="Times New Roman"/>
          <w:sz w:val="22"/>
          <w:szCs w:val="22"/>
        </w:rPr>
        <w:t xml:space="preserve">venting impairment of </w:t>
      </w:r>
      <w:r w:rsidRPr="00B81102">
        <w:rPr>
          <w:rFonts w:ascii="Verdana" w:eastAsia="Times New Roman" w:hAnsi="Verdana" w:cs="Times New Roman"/>
          <w:sz w:val="22"/>
          <w:szCs w:val="22"/>
        </w:rPr>
        <w:t>their health or development; ensuring that children grow up in circumstances consistent with the provision of safe and effective care; and taking action to enable all children to have the best outcomes.</w:t>
      </w:r>
    </w:p>
    <w:p w:rsidR="0011117F" w:rsidRPr="0011117F" w:rsidRDefault="00D96E3B" w:rsidP="00515824">
      <w:pPr>
        <w:spacing w:before="100" w:beforeAutospacing="1" w:after="120" w:line="240" w:lineRule="auto"/>
        <w:jc w:val="both"/>
        <w:rPr>
          <w:rFonts w:ascii="Verdana" w:eastAsia="Times New Roman" w:hAnsi="Verdana" w:cs="Times New Roman"/>
        </w:rPr>
      </w:pPr>
      <w:r>
        <w:rPr>
          <w:rFonts w:ascii="Verdana" w:eastAsia="Times New Roman" w:hAnsi="Verdana" w:cs="Times New Roman"/>
        </w:rPr>
        <w:t xml:space="preserve">Childhood First overarching </w:t>
      </w:r>
      <w:r w:rsidR="0011117F" w:rsidRPr="00E43ADE">
        <w:rPr>
          <w:rFonts w:ascii="Verdana" w:eastAsia="Times New Roman" w:hAnsi="Verdana" w:cs="Times New Roman"/>
        </w:rPr>
        <w:t>policies can be found on Tri-X and should be read in conjunction with this policy.</w:t>
      </w:r>
    </w:p>
    <w:p w:rsidR="0011117F" w:rsidRPr="0011117F" w:rsidRDefault="0011117F" w:rsidP="00515824">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
          <w:bCs/>
          <w:u w:val="single"/>
        </w:rPr>
        <w:t>POLICY AIMS</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The purpose of this policy is to:</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Identify the names of responsible persons in the school and explain the purpose of their role</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Describe what should be done if anyone in the school has a concern about the safety and welfare of a child who attends the school</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Set out expectations in respect of training</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Ensure that those responsible for recruitment are aware of how to apply safeguarding principles in employing staff</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Set out expectations of how to ensure children are safeguarded when there is potential to come into contact with non-school staff, e.g. volunteers, contractors etc.</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Outline how complaints against staff will be handled</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Set out expectations regarding record keeping</w:t>
      </w:r>
    </w:p>
    <w:p w:rsidR="0011117F" w:rsidRPr="00E43ADE"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Clarify how children will be kept safe through the everyday life of the school</w:t>
      </w:r>
    </w:p>
    <w:p w:rsidR="0011117F" w:rsidRPr="0011117F" w:rsidRDefault="0011117F" w:rsidP="002719A6">
      <w:pPr>
        <w:numPr>
          <w:ilvl w:val="0"/>
          <w:numId w:val="1"/>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color w:val="000000"/>
        </w:rPr>
        <w:t>Outline how the implementation of this policy will be monitored</w:t>
      </w:r>
    </w:p>
    <w:p w:rsidR="005D0F6C" w:rsidRDefault="005D0F6C" w:rsidP="002719A6">
      <w:pPr>
        <w:spacing w:before="100" w:beforeAutospacing="1" w:after="120" w:line="240" w:lineRule="auto"/>
        <w:jc w:val="both"/>
        <w:rPr>
          <w:rFonts w:ascii="Verdana" w:eastAsia="Times New Roman" w:hAnsi="Verdana" w:cs="Times New Roman"/>
        </w:rPr>
      </w:pPr>
    </w:p>
    <w:p w:rsidR="005D0F6C" w:rsidRDefault="005D0F6C" w:rsidP="002719A6">
      <w:pPr>
        <w:spacing w:before="100" w:beforeAutospacing="1" w:after="120" w:line="240" w:lineRule="auto"/>
        <w:jc w:val="both"/>
        <w:rPr>
          <w:rFonts w:ascii="Verdana" w:eastAsia="Times New Roman" w:hAnsi="Verdana" w:cs="Times New Roman"/>
        </w:rPr>
      </w:pPr>
    </w:p>
    <w:p w:rsidR="005D0F6C" w:rsidRDefault="005D0F6C" w:rsidP="002719A6">
      <w:pPr>
        <w:spacing w:before="100" w:beforeAutospacing="1" w:after="120" w:line="240" w:lineRule="auto"/>
        <w:jc w:val="both"/>
        <w:rPr>
          <w:rFonts w:ascii="Verdana" w:eastAsia="Times New Roman" w:hAnsi="Verdana" w:cs="Times New Roman"/>
        </w:rPr>
      </w:pP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This policy is consistent with all other policies adopted by the Governors and should in particular be read in conjunction with the following</w:t>
      </w:r>
      <w:r w:rsidRPr="00E43ADE">
        <w:rPr>
          <w:rFonts w:ascii="Verdana" w:eastAsia="Times New Roman" w:hAnsi="Verdana" w:cs="Times New Roman"/>
        </w:rPr>
        <w:t xml:space="preserve"> school </w:t>
      </w:r>
      <w:r w:rsidRPr="0011117F">
        <w:rPr>
          <w:rFonts w:ascii="Verdana" w:eastAsia="Times New Roman" w:hAnsi="Verdana" w:cs="Times New Roman"/>
        </w:rPr>
        <w:t xml:space="preserve"> policies relevant to the safety and welfare of children:</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rPr>
      </w:pPr>
      <w:r w:rsidRPr="0011117F">
        <w:rPr>
          <w:rFonts w:ascii="Verdana" w:eastAsia="Times New Roman" w:hAnsi="Verdana" w:cs="Times New Roman"/>
          <w:color w:val="000000"/>
        </w:rPr>
        <w:t>Anti-Bullying Policy</w:t>
      </w:r>
    </w:p>
    <w:p w:rsidR="0011117F" w:rsidRPr="0011117F" w:rsidRDefault="00B85F0D" w:rsidP="002719A6">
      <w:pPr>
        <w:numPr>
          <w:ilvl w:val="0"/>
          <w:numId w:val="3"/>
        </w:numPr>
        <w:spacing w:before="100" w:beforeAutospacing="1" w:after="120" w:line="240" w:lineRule="auto"/>
        <w:jc w:val="both"/>
        <w:rPr>
          <w:rFonts w:ascii="Verdana" w:eastAsia="Times New Roman" w:hAnsi="Verdana" w:cs="Times New Roman"/>
          <w:color w:val="000000"/>
        </w:rPr>
      </w:pPr>
      <w:r>
        <w:rPr>
          <w:rFonts w:ascii="Verdana" w:eastAsia="Times New Roman" w:hAnsi="Verdana" w:cs="Times New Roman"/>
          <w:color w:val="000000"/>
        </w:rPr>
        <w:t xml:space="preserve">Anti-Radicalisation </w:t>
      </w:r>
      <w:r w:rsidR="0011117F" w:rsidRPr="0011117F">
        <w:rPr>
          <w:rFonts w:ascii="Verdana" w:eastAsia="Times New Roman" w:hAnsi="Verdana" w:cs="Times New Roman"/>
          <w:color w:val="000000"/>
        </w:rPr>
        <w:t>Policy</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rPr>
      </w:pPr>
      <w:r w:rsidRPr="0011117F">
        <w:rPr>
          <w:rFonts w:ascii="Verdana" w:eastAsia="Times New Roman" w:hAnsi="Verdana" w:cs="Times New Roman"/>
          <w:color w:val="000000"/>
        </w:rPr>
        <w:t>Health and Safety Policy</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rPr>
      </w:pPr>
      <w:r w:rsidRPr="0011117F">
        <w:rPr>
          <w:rFonts w:ascii="Verdana" w:eastAsia="Times New Roman" w:hAnsi="Verdana" w:cs="Times New Roman"/>
          <w:color w:val="000000"/>
        </w:rPr>
        <w:t>Whistle blowing Policy</w:t>
      </w:r>
      <w:r w:rsidR="00B85F0D">
        <w:rPr>
          <w:rFonts w:ascii="Verdana" w:eastAsia="Times New Roman" w:hAnsi="Verdana" w:cs="Times New Roman"/>
          <w:color w:val="000000"/>
        </w:rPr>
        <w:t xml:space="preserve"> (Tri-X)</w:t>
      </w:r>
    </w:p>
    <w:p w:rsidR="0011117F" w:rsidRPr="00E43ADE" w:rsidRDefault="0011117F" w:rsidP="002719A6">
      <w:pPr>
        <w:numPr>
          <w:ilvl w:val="0"/>
          <w:numId w:val="3"/>
        </w:numPr>
        <w:spacing w:before="100" w:beforeAutospacing="1" w:after="120" w:line="240" w:lineRule="auto"/>
        <w:jc w:val="both"/>
        <w:rPr>
          <w:rFonts w:ascii="Verdana" w:eastAsia="Times New Roman" w:hAnsi="Verdana" w:cs="Times New Roman"/>
          <w:color w:val="000000"/>
        </w:rPr>
      </w:pPr>
      <w:r w:rsidRPr="0011117F">
        <w:rPr>
          <w:rFonts w:ascii="Verdana" w:eastAsia="Times New Roman" w:hAnsi="Verdana" w:cs="Times New Roman"/>
          <w:color w:val="000000"/>
        </w:rPr>
        <w:t>Code of Conduct</w:t>
      </w:r>
      <w:r w:rsidR="0005489F">
        <w:rPr>
          <w:rFonts w:ascii="Verdana" w:eastAsia="Times New Roman" w:hAnsi="Verdana" w:cs="Times New Roman"/>
          <w:color w:val="000000"/>
        </w:rPr>
        <w:t xml:space="preserve"> (Staff Handbook)</w:t>
      </w:r>
    </w:p>
    <w:p w:rsidR="0011117F" w:rsidRPr="0011117F" w:rsidRDefault="0011117F" w:rsidP="002719A6">
      <w:pPr>
        <w:numPr>
          <w:ilvl w:val="0"/>
          <w:numId w:val="3"/>
        </w:numPr>
        <w:spacing w:before="100" w:beforeAutospacing="1" w:after="120" w:line="240" w:lineRule="auto"/>
        <w:jc w:val="both"/>
        <w:rPr>
          <w:rFonts w:ascii="Verdana" w:eastAsia="Times New Roman" w:hAnsi="Verdana" w:cs="Times New Roman"/>
          <w:color w:val="000000"/>
        </w:rPr>
      </w:pPr>
      <w:r w:rsidRPr="00E43ADE">
        <w:rPr>
          <w:rFonts w:ascii="Verdana" w:eastAsia="Times New Roman" w:hAnsi="Verdana" w:cs="Times New Roman"/>
          <w:color w:val="000000"/>
        </w:rPr>
        <w:t>Behaviour Policy</w:t>
      </w:r>
    </w:p>
    <w:p w:rsidR="003D5F4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Safeguarding children in our school is the responsibility of the whole school community. Al</w:t>
      </w:r>
      <w:r w:rsidRPr="00E43ADE">
        <w:rPr>
          <w:rFonts w:ascii="Verdana" w:eastAsia="Times New Roman" w:hAnsi="Verdana" w:cs="Times New Roman"/>
        </w:rPr>
        <w:t xml:space="preserve">l adults working in this School, along with residential therapeutic care staff </w:t>
      </w:r>
      <w:r w:rsidRPr="0011117F">
        <w:rPr>
          <w:rFonts w:ascii="Verdana" w:eastAsia="Times New Roman" w:hAnsi="Verdana" w:cs="Times New Roman"/>
        </w:rPr>
        <w:t>are required to report instances of actual or suspected child abuse or neglect to the</w:t>
      </w:r>
      <w:r w:rsidRPr="00E43ADE">
        <w:rPr>
          <w:rFonts w:ascii="Verdana" w:eastAsia="Times New Roman" w:hAnsi="Verdana" w:cs="Times New Roman"/>
        </w:rPr>
        <w:t xml:space="preserve"> Head Teacher</w:t>
      </w:r>
      <w:r w:rsidR="00CA72FE">
        <w:rPr>
          <w:rFonts w:ascii="Verdana" w:eastAsia="Times New Roman" w:hAnsi="Verdana" w:cs="Times New Roman"/>
        </w:rPr>
        <w:t xml:space="preserve"> as safeguarding lead for the school</w:t>
      </w:r>
      <w:r w:rsidRPr="00E43ADE">
        <w:rPr>
          <w:rFonts w:ascii="Verdana" w:eastAsia="Times New Roman" w:hAnsi="Verdana" w:cs="Times New Roman"/>
        </w:rPr>
        <w:t xml:space="preserve">. The </w:t>
      </w:r>
      <w:r w:rsidRPr="0011117F">
        <w:rPr>
          <w:rFonts w:ascii="Verdana" w:eastAsia="Times New Roman" w:hAnsi="Verdana" w:cs="Times New Roman"/>
        </w:rPr>
        <w:t>Designated Sa</w:t>
      </w:r>
      <w:r w:rsidRPr="00E43ADE">
        <w:rPr>
          <w:rFonts w:ascii="Verdana" w:eastAsia="Times New Roman" w:hAnsi="Verdana" w:cs="Times New Roman"/>
        </w:rPr>
        <w:t>feguarding Lea</w:t>
      </w:r>
      <w:r w:rsidR="003D5F4F">
        <w:rPr>
          <w:rFonts w:ascii="Verdana" w:eastAsia="Times New Roman" w:hAnsi="Verdana" w:cs="Times New Roman"/>
        </w:rPr>
        <w:t>d for the Greenfields House</w:t>
      </w:r>
      <w:r w:rsidRPr="00E43ADE">
        <w:rPr>
          <w:rFonts w:ascii="Verdana" w:eastAsia="Times New Roman" w:hAnsi="Verdana" w:cs="Times New Roman"/>
        </w:rPr>
        <w:t xml:space="preserve"> is </w:t>
      </w:r>
      <w:r w:rsidR="003D5F4F">
        <w:rPr>
          <w:rFonts w:ascii="Verdana" w:eastAsia="Times New Roman" w:hAnsi="Verdana" w:cs="Times New Roman"/>
        </w:rPr>
        <w:t xml:space="preserve">Kelly Kirby, Assistant Director of Statutory Compliance and for The Gable House, Juliette Joyce, </w:t>
      </w:r>
      <w:proofErr w:type="gramStart"/>
      <w:r w:rsidR="003D5F4F">
        <w:rPr>
          <w:rFonts w:ascii="Verdana" w:eastAsia="Times New Roman" w:hAnsi="Verdana" w:cs="Times New Roman"/>
        </w:rPr>
        <w:t>Assistant</w:t>
      </w:r>
      <w:proofErr w:type="gramEnd"/>
      <w:r w:rsidR="003D5F4F">
        <w:rPr>
          <w:rFonts w:ascii="Verdana" w:eastAsia="Times New Roman" w:hAnsi="Verdana" w:cs="Times New Roman"/>
        </w:rPr>
        <w:t xml:space="preserve"> Director of Statutory Compliance. </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The Desi</w:t>
      </w:r>
      <w:r w:rsidRPr="00E43ADE">
        <w:rPr>
          <w:rFonts w:ascii="Verdana" w:eastAsia="Times New Roman" w:hAnsi="Verdana" w:cs="Times New Roman"/>
        </w:rPr>
        <w:t xml:space="preserve">gnated Safeguarding Lead is </w:t>
      </w:r>
      <w:r w:rsidRPr="0011117F">
        <w:rPr>
          <w:rFonts w:ascii="Verdana" w:eastAsia="Times New Roman" w:hAnsi="Verdana" w:cs="Times New Roman"/>
        </w:rPr>
        <w:t>the first point of contact for external agencies that are pursuing Child Protection investigations and co-ordinates the school’s representation at CP conferences and Core Group meetings (including the submission of written reports for conferences). When an individual concern/incident is brought to the notice of the Designated Safeguarding Lead, they will be responsible for deciding upon whether or not this should be reported to other agencies as a safeguarding issue.</w:t>
      </w:r>
    </w:p>
    <w:p w:rsidR="0011117F" w:rsidRDefault="00D91F9F" w:rsidP="002719A6">
      <w:pPr>
        <w:spacing w:before="100" w:beforeAutospacing="1" w:after="120" w:line="240" w:lineRule="auto"/>
        <w:jc w:val="both"/>
        <w:rPr>
          <w:rFonts w:ascii="Verdana" w:eastAsia="Times New Roman" w:hAnsi="Verdana" w:cs="Times New Roman"/>
          <w:b/>
          <w:bCs/>
        </w:rPr>
      </w:pPr>
      <w:r>
        <w:rPr>
          <w:rFonts w:ascii="Verdana" w:eastAsia="Times New Roman" w:hAnsi="Verdana" w:cs="Times New Roman"/>
          <w:b/>
          <w:bCs/>
        </w:rPr>
        <w:t>Recognition of t</w:t>
      </w:r>
      <w:r w:rsidR="0011117F" w:rsidRPr="00E43ADE">
        <w:rPr>
          <w:rFonts w:ascii="Verdana" w:eastAsia="Times New Roman" w:hAnsi="Verdana" w:cs="Times New Roman"/>
          <w:b/>
          <w:bCs/>
        </w:rPr>
        <w:t xml:space="preserve">ypes of child abuse and neglect </w:t>
      </w:r>
    </w:p>
    <w:p w:rsidR="00D91F9F" w:rsidRPr="00D91F9F" w:rsidRDefault="00D91F9F" w:rsidP="002719A6">
      <w:pPr>
        <w:spacing w:before="100" w:beforeAutospacing="1" w:after="120" w:line="240" w:lineRule="auto"/>
        <w:jc w:val="both"/>
        <w:rPr>
          <w:rFonts w:ascii="Verdana" w:eastAsia="Times New Roman" w:hAnsi="Verdana" w:cs="Times New Roman"/>
          <w:bCs/>
        </w:rPr>
      </w:pPr>
      <w:r>
        <w:rPr>
          <w:rFonts w:ascii="Verdana" w:eastAsia="Times New Roman" w:hAnsi="Verdana" w:cs="Times New Roman"/>
          <w:bCs/>
        </w:rPr>
        <w:t xml:space="preserve">All staff in school should be aware of the definitions and indictors of abuse and neglect. </w:t>
      </w:r>
    </w:p>
    <w:p w:rsidR="0011117F" w:rsidRDefault="0011117F"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Cs/>
          <w:u w:val="single"/>
        </w:rPr>
        <w:t>Abuse</w:t>
      </w:r>
      <w:r w:rsidRPr="0011117F">
        <w:rPr>
          <w:rFonts w:ascii="Verdana" w:eastAsia="Times New Roman" w:hAnsi="Verdana" w:cs="Times New Roman"/>
        </w:rPr>
        <w:t>: a form of maltreatment of a child. Somebody may abuse or neglect a child by inflicting harm, or by failing to act to prevent harm. They may be abused by an adult or adults or another child or children.</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Cs/>
          <w:u w:val="single"/>
        </w:rPr>
        <w:t>Physical abuse</w:t>
      </w:r>
      <w:r w:rsidRPr="0011117F">
        <w:rPr>
          <w:rFonts w:ascii="Verdana" w:eastAsia="Times New Roman" w:hAnsi="Verdana" w:cs="Times New Roman"/>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Cs/>
          <w:u w:val="single"/>
        </w:rPr>
        <w:lastRenderedPageBreak/>
        <w:t>Emotional abuse</w:t>
      </w:r>
      <w:r w:rsidRPr="0011117F">
        <w:rPr>
          <w:rFonts w:ascii="Verdana" w:eastAsia="Times New Roman" w:hAnsi="Verdana" w:cs="Times New Roman"/>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Cs/>
          <w:u w:val="single"/>
        </w:rPr>
        <w:t>Sexual abuse</w:t>
      </w:r>
      <w:r w:rsidRPr="0011117F">
        <w:rPr>
          <w:rFonts w:ascii="Verdana" w:eastAsia="Times New Roman" w:hAnsi="Verdana" w:cs="Times New Roman"/>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Cs/>
          <w:u w:val="single"/>
        </w:rPr>
        <w:t>Neglect</w:t>
      </w:r>
      <w:r w:rsidRPr="0011117F">
        <w:rPr>
          <w:rFonts w:ascii="Verdana" w:eastAsia="Times New Roman" w:hAnsi="Verdana" w:cs="Times New Roman"/>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91F9F" w:rsidRPr="00D91F9F" w:rsidRDefault="00D91F9F" w:rsidP="002719A6">
      <w:pPr>
        <w:spacing w:before="100" w:beforeAutospacing="1" w:after="120" w:line="240" w:lineRule="auto"/>
        <w:jc w:val="both"/>
        <w:rPr>
          <w:rFonts w:ascii="Verdana" w:eastAsia="Times New Roman" w:hAnsi="Verdana" w:cs="Times New Roman"/>
        </w:rPr>
      </w:pPr>
      <w:r>
        <w:rPr>
          <w:rFonts w:ascii="Verdana" w:eastAsia="Times New Roman" w:hAnsi="Verdana" w:cs="Times New Roman"/>
          <w:u w:val="single"/>
        </w:rPr>
        <w:t xml:space="preserve">Peer on Peer Abuse: </w:t>
      </w:r>
      <w:r>
        <w:rPr>
          <w:rFonts w:ascii="Verdana" w:eastAsia="Times New Roman" w:hAnsi="Verdana" w:cs="Times New Roman"/>
        </w:rPr>
        <w:t>Children abusing other children, this can include cyber bullying, sexual violence and sexual harassment, physical abuse</w:t>
      </w:r>
      <w:r w:rsidR="00235A74">
        <w:rPr>
          <w:rFonts w:ascii="Verdana" w:eastAsia="Times New Roman" w:hAnsi="Verdana" w:cs="Times New Roman"/>
        </w:rPr>
        <w:t xml:space="preserve"> i.e. causing physical harm, texting and initiating hazing type violence and rituals. </w:t>
      </w:r>
      <w:r>
        <w:rPr>
          <w:rFonts w:ascii="Verdana" w:eastAsia="Times New Roman" w:hAnsi="Verdana" w:cs="Times New Roman"/>
        </w:rPr>
        <w:t xml:space="preserve"> </w:t>
      </w:r>
    </w:p>
    <w:p w:rsidR="00D91F9F" w:rsidRDefault="00D91F9F" w:rsidP="002719A6">
      <w:pPr>
        <w:spacing w:before="100" w:beforeAutospacing="1" w:after="120" w:line="240" w:lineRule="auto"/>
        <w:jc w:val="both"/>
        <w:rPr>
          <w:rFonts w:ascii="Verdana" w:eastAsia="Times New Roman" w:hAnsi="Verdana" w:cs="Times New Roman"/>
        </w:rPr>
      </w:pPr>
    </w:p>
    <w:p w:rsidR="00D91F9F" w:rsidRDefault="00D91F9F" w:rsidP="002719A6">
      <w:pPr>
        <w:spacing w:before="100" w:beforeAutospacing="1" w:after="120" w:line="240" w:lineRule="auto"/>
        <w:jc w:val="both"/>
        <w:rPr>
          <w:rFonts w:ascii="Verdana" w:eastAsia="Times New Roman" w:hAnsi="Verdana" w:cs="Times New Roman"/>
        </w:rPr>
      </w:pPr>
    </w:p>
    <w:p w:rsidR="00D91F9F" w:rsidRDefault="00D91F9F" w:rsidP="002719A6">
      <w:pPr>
        <w:spacing w:before="100" w:beforeAutospacing="1" w:after="120" w:line="240" w:lineRule="auto"/>
        <w:jc w:val="both"/>
        <w:rPr>
          <w:rFonts w:ascii="Verdana" w:eastAsia="Times New Roman" w:hAnsi="Verdana" w:cs="Times New Roman"/>
        </w:rPr>
      </w:pP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In addition to these types of abuse and neglect, members of staff will also be alert to following specific safeguarding issues:</w:t>
      </w:r>
    </w:p>
    <w:p w:rsidR="0011117F" w:rsidRPr="0011117F" w:rsidRDefault="0011117F" w:rsidP="002719A6">
      <w:pPr>
        <w:spacing w:before="100" w:beforeAutospacing="1" w:after="120" w:line="240" w:lineRule="auto"/>
        <w:jc w:val="both"/>
        <w:rPr>
          <w:rFonts w:ascii="Verdana" w:eastAsia="Times New Roman" w:hAnsi="Verdana" w:cs="Times New Roman"/>
          <w:u w:val="single"/>
        </w:rPr>
      </w:pPr>
      <w:r w:rsidRPr="00E43ADE">
        <w:rPr>
          <w:rFonts w:ascii="Verdana" w:eastAsia="Times New Roman" w:hAnsi="Verdana" w:cs="Times New Roman"/>
          <w:bCs/>
          <w:u w:val="single"/>
        </w:rPr>
        <w:t>Child Sexual Exploitation (CSE)</w:t>
      </w:r>
    </w:p>
    <w:p w:rsidR="0011117F" w:rsidRPr="0011117F" w:rsidRDefault="0011117F" w:rsidP="002719A6">
      <w:pPr>
        <w:spacing w:before="100" w:beforeAutospacing="1" w:after="120" w:line="240" w:lineRule="auto"/>
        <w:jc w:val="both"/>
        <w:rPr>
          <w:rFonts w:ascii="Verdana" w:eastAsia="Times New Roman" w:hAnsi="Verdana" w:cs="Times New Roman"/>
          <w:u w:val="single"/>
        </w:rPr>
      </w:pPr>
      <w:r w:rsidRPr="00E43ADE">
        <w:rPr>
          <w:rFonts w:ascii="Verdana" w:eastAsia="Times New Roman" w:hAnsi="Verdana" w:cs="Times New Roman"/>
          <w:bCs/>
          <w:u w:val="single"/>
        </w:rPr>
        <w:t>Female Genital Mutilation (FGM)</w:t>
      </w:r>
    </w:p>
    <w:p w:rsidR="0011117F" w:rsidRDefault="0011117F" w:rsidP="002719A6">
      <w:pPr>
        <w:spacing w:before="100" w:beforeAutospacing="1" w:after="120" w:line="240" w:lineRule="auto"/>
        <w:jc w:val="both"/>
        <w:rPr>
          <w:rFonts w:ascii="Verdana" w:eastAsia="Times New Roman" w:hAnsi="Verdana" w:cs="Times New Roman"/>
          <w:bCs/>
          <w:u w:val="single"/>
        </w:rPr>
      </w:pPr>
      <w:r w:rsidRPr="00E43ADE">
        <w:rPr>
          <w:rFonts w:ascii="Verdana" w:eastAsia="Times New Roman" w:hAnsi="Verdana" w:cs="Times New Roman"/>
          <w:bCs/>
          <w:u w:val="single"/>
        </w:rPr>
        <w:t>Preventing Radicalisation</w:t>
      </w:r>
    </w:p>
    <w:p w:rsidR="0011117F" w:rsidRPr="0011117F" w:rsidRDefault="00191D04"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rPr>
        <w:t xml:space="preserve">All Local Authorities </w:t>
      </w:r>
      <w:r w:rsidR="0011117F" w:rsidRPr="0011117F">
        <w:rPr>
          <w:rFonts w:ascii="Verdana" w:eastAsia="Times New Roman" w:hAnsi="Verdana" w:cs="Times New Roman"/>
        </w:rPr>
        <w:t>applying for places at this school will be informed of our safeguarding responsibilities and the existence of this policy</w:t>
      </w:r>
      <w:r w:rsidR="00D91F9F">
        <w:rPr>
          <w:rFonts w:ascii="Verdana" w:eastAsia="Times New Roman" w:hAnsi="Verdana" w:cs="Times New Roman"/>
        </w:rPr>
        <w:t>.</w:t>
      </w:r>
    </w:p>
    <w:p w:rsidR="00F213C0" w:rsidRDefault="00F213C0" w:rsidP="00F213C0">
      <w:pPr>
        <w:pStyle w:val="LGfL2"/>
        <w:rPr>
          <w:rFonts w:ascii="Verdana" w:eastAsia="Calibri" w:hAnsi="Verdana"/>
          <w:b w:val="0"/>
          <w:sz w:val="20"/>
          <w:szCs w:val="20"/>
          <w:u w:val="single"/>
        </w:rPr>
      </w:pPr>
    </w:p>
    <w:p w:rsidR="00F213C0" w:rsidRPr="00F213C0" w:rsidRDefault="00F213C0" w:rsidP="00F213C0">
      <w:pPr>
        <w:pStyle w:val="LGfL2"/>
        <w:rPr>
          <w:rFonts w:ascii="Verdana" w:eastAsia="Calibri" w:hAnsi="Verdana"/>
          <w:sz w:val="22"/>
          <w:szCs w:val="22"/>
          <w:u w:val="single"/>
        </w:rPr>
      </w:pPr>
      <w:r w:rsidRPr="00F213C0">
        <w:rPr>
          <w:rFonts w:ascii="Verdana" w:eastAsia="Calibri" w:hAnsi="Verdana"/>
          <w:sz w:val="22"/>
          <w:szCs w:val="22"/>
          <w:u w:val="single"/>
        </w:rPr>
        <w:t>E SAFETY</w:t>
      </w:r>
    </w:p>
    <w:p w:rsidR="00F213C0" w:rsidRPr="00F213C0" w:rsidRDefault="00F213C0" w:rsidP="00F213C0">
      <w:pPr>
        <w:pStyle w:val="LGfL2"/>
        <w:spacing w:after="0"/>
        <w:jc w:val="both"/>
        <w:rPr>
          <w:rFonts w:ascii="Verdana" w:eastAsia="Times New Roman" w:hAnsi="Verdana"/>
          <w:b w:val="0"/>
          <w:sz w:val="22"/>
          <w:szCs w:val="22"/>
        </w:rPr>
      </w:pPr>
      <w:r w:rsidRPr="00F213C0">
        <w:rPr>
          <w:rFonts w:ascii="Verdana" w:eastAsia="Calibri" w:hAnsi="Verdana"/>
          <w:b w:val="0"/>
          <w:sz w:val="22"/>
          <w:szCs w:val="22"/>
        </w:rPr>
        <w:t xml:space="preserve">The main areas of risk for our school community </w:t>
      </w:r>
      <w:r w:rsidRPr="00F213C0">
        <w:rPr>
          <w:rFonts w:ascii="Verdana" w:hAnsi="Verdana"/>
          <w:b w:val="0"/>
          <w:sz w:val="22"/>
          <w:szCs w:val="22"/>
        </w:rPr>
        <w:t>can be summarised as follows:</w:t>
      </w:r>
    </w:p>
    <w:p w:rsidR="00F213C0" w:rsidRPr="00F213C0" w:rsidRDefault="00F213C0" w:rsidP="00F213C0">
      <w:pPr>
        <w:pStyle w:val="Heading3"/>
        <w:jc w:val="both"/>
        <w:rPr>
          <w:rFonts w:ascii="Verdana" w:eastAsia="Calibri" w:hAnsi="Verdana"/>
          <w:sz w:val="22"/>
          <w:szCs w:val="22"/>
        </w:rPr>
      </w:pPr>
      <w:bookmarkStart w:id="1" w:name="_Toc343098422"/>
      <w:r w:rsidRPr="00F213C0">
        <w:rPr>
          <w:rFonts w:ascii="Verdana" w:eastAsia="Calibri" w:hAnsi="Verdana"/>
          <w:sz w:val="22"/>
          <w:szCs w:val="22"/>
        </w:rPr>
        <w:t>Content</w:t>
      </w:r>
      <w:bookmarkEnd w:id="1"/>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Exposure to inappropriate content</w:t>
      </w:r>
    </w:p>
    <w:p w:rsidR="00F213C0" w:rsidRPr="00F213C0" w:rsidRDefault="00F213C0" w:rsidP="00DA6BD0">
      <w:pPr>
        <w:pStyle w:val="Bulletsspaced"/>
        <w:numPr>
          <w:ilvl w:val="0"/>
          <w:numId w:val="15"/>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Lifestyle websites promoting harmful behaviours</w:t>
      </w:r>
    </w:p>
    <w:p w:rsidR="00F213C0" w:rsidRPr="00F213C0" w:rsidRDefault="00F213C0" w:rsidP="00DA6BD0">
      <w:pPr>
        <w:pStyle w:val="Bulletsspaced"/>
        <w:numPr>
          <w:ilvl w:val="0"/>
          <w:numId w:val="15"/>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Hate content</w:t>
      </w:r>
    </w:p>
    <w:p w:rsidR="00F213C0" w:rsidRPr="00F213C0" w:rsidRDefault="00F213C0" w:rsidP="00F213C0">
      <w:pPr>
        <w:pStyle w:val="Heading3"/>
        <w:tabs>
          <w:tab w:val="left" w:pos="851"/>
        </w:tabs>
        <w:ind w:left="851" w:hanging="851"/>
        <w:jc w:val="both"/>
        <w:rPr>
          <w:rFonts w:ascii="Verdana" w:eastAsia="Calibri" w:hAnsi="Verdana"/>
          <w:sz w:val="22"/>
          <w:szCs w:val="22"/>
        </w:rPr>
      </w:pPr>
      <w:bookmarkStart w:id="2" w:name="_Toc343098423"/>
      <w:r w:rsidRPr="00F213C0">
        <w:rPr>
          <w:rFonts w:ascii="Verdana" w:eastAsia="Calibri" w:hAnsi="Verdana"/>
          <w:sz w:val="22"/>
          <w:szCs w:val="22"/>
        </w:rPr>
        <w:t>Contact</w:t>
      </w:r>
      <w:bookmarkEnd w:id="2"/>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lang w:val="fr-FR"/>
        </w:rPr>
      </w:pPr>
      <w:proofErr w:type="spellStart"/>
      <w:r w:rsidRPr="00F213C0">
        <w:rPr>
          <w:rFonts w:ascii="Verdana" w:eastAsia="Calibri" w:hAnsi="Verdana"/>
          <w:sz w:val="22"/>
          <w:szCs w:val="22"/>
          <w:lang w:val="fr-FR"/>
        </w:rPr>
        <w:t>Grooming</w:t>
      </w:r>
      <w:proofErr w:type="spellEnd"/>
      <w:r w:rsidRPr="00F213C0">
        <w:rPr>
          <w:rFonts w:ascii="Verdana" w:eastAsia="Calibri" w:hAnsi="Verdana"/>
          <w:sz w:val="22"/>
          <w:szCs w:val="22"/>
          <w:lang w:val="fr-FR"/>
        </w:rPr>
        <w:t xml:space="preserve"> (</w:t>
      </w:r>
      <w:proofErr w:type="spellStart"/>
      <w:r w:rsidRPr="00F213C0">
        <w:rPr>
          <w:rFonts w:ascii="Verdana" w:eastAsia="Calibri" w:hAnsi="Verdana"/>
          <w:sz w:val="22"/>
          <w:szCs w:val="22"/>
          <w:lang w:val="fr-FR"/>
        </w:rPr>
        <w:t>sexual</w:t>
      </w:r>
      <w:proofErr w:type="spellEnd"/>
      <w:r w:rsidRPr="00F213C0">
        <w:rPr>
          <w:rFonts w:ascii="Verdana" w:eastAsia="Calibri" w:hAnsi="Verdana"/>
          <w:sz w:val="22"/>
          <w:szCs w:val="22"/>
          <w:lang w:val="fr-FR"/>
        </w:rPr>
        <w:t xml:space="preserve"> exploitation, radicalisation etc.)</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Online bullying in all forms</w:t>
      </w:r>
    </w:p>
    <w:p w:rsid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Social or commercial identity theft, including passwords</w:t>
      </w:r>
    </w:p>
    <w:p w:rsidR="00235A74" w:rsidRPr="00F213C0" w:rsidRDefault="00235A74" w:rsidP="00235A74">
      <w:pPr>
        <w:pStyle w:val="Bulletsspaced"/>
        <w:numPr>
          <w:ilvl w:val="0"/>
          <w:numId w:val="0"/>
        </w:numPr>
        <w:tabs>
          <w:tab w:val="left" w:pos="851"/>
        </w:tabs>
        <w:ind w:left="567"/>
        <w:contextualSpacing/>
        <w:jc w:val="both"/>
        <w:rPr>
          <w:rFonts w:ascii="Verdana" w:eastAsia="Calibri" w:hAnsi="Verdana"/>
          <w:sz w:val="22"/>
          <w:szCs w:val="22"/>
        </w:rPr>
      </w:pPr>
    </w:p>
    <w:p w:rsidR="00F213C0" w:rsidRPr="00F213C0" w:rsidRDefault="00F213C0" w:rsidP="00F213C0">
      <w:pPr>
        <w:pStyle w:val="Heading3"/>
        <w:tabs>
          <w:tab w:val="left" w:pos="851"/>
        </w:tabs>
        <w:ind w:left="851" w:hanging="851"/>
        <w:jc w:val="both"/>
        <w:rPr>
          <w:rFonts w:ascii="Verdana" w:eastAsia="Calibri" w:hAnsi="Verdana"/>
          <w:sz w:val="22"/>
          <w:szCs w:val="22"/>
        </w:rPr>
      </w:pPr>
      <w:bookmarkStart w:id="3" w:name="_Toc343098424"/>
      <w:r w:rsidRPr="00F213C0">
        <w:rPr>
          <w:rFonts w:ascii="Verdana" w:eastAsia="Calibri" w:hAnsi="Verdana"/>
          <w:sz w:val="22"/>
          <w:szCs w:val="22"/>
        </w:rPr>
        <w:t>Conduct</w:t>
      </w:r>
      <w:bookmarkEnd w:id="3"/>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Aggressive behaviours (bullying)</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Privacy issues, including disclosure of personal information</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Digital footprint and online reputation</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Health and well-being (amount of time spent online, gambling, body image)</w:t>
      </w:r>
    </w:p>
    <w:p w:rsidR="00F213C0" w:rsidRPr="00F213C0" w:rsidRDefault="00F213C0" w:rsidP="00DA6BD0">
      <w:pPr>
        <w:pStyle w:val="Bulletsspaced"/>
        <w:numPr>
          <w:ilvl w:val="0"/>
          <w:numId w:val="14"/>
        </w:numPr>
        <w:tabs>
          <w:tab w:val="clear" w:pos="540"/>
          <w:tab w:val="left" w:pos="851"/>
        </w:tabs>
        <w:ind w:left="851" w:hanging="284"/>
        <w:contextualSpacing/>
        <w:jc w:val="both"/>
        <w:rPr>
          <w:rFonts w:ascii="Verdana" w:eastAsia="Calibri" w:hAnsi="Verdana"/>
          <w:sz w:val="22"/>
          <w:szCs w:val="22"/>
        </w:rPr>
      </w:pPr>
      <w:r w:rsidRPr="00F213C0">
        <w:rPr>
          <w:rFonts w:ascii="Verdana" w:eastAsia="Calibri" w:hAnsi="Verdana"/>
          <w:sz w:val="22"/>
          <w:szCs w:val="22"/>
        </w:rPr>
        <w:t>Sexting</w:t>
      </w:r>
    </w:p>
    <w:p w:rsidR="00F213C0" w:rsidRPr="00F213C0" w:rsidRDefault="00F213C0" w:rsidP="00F213C0">
      <w:pPr>
        <w:pStyle w:val="LGfL2"/>
        <w:spacing w:after="0"/>
        <w:jc w:val="both"/>
        <w:rPr>
          <w:rFonts w:ascii="Verdana" w:hAnsi="Verdana"/>
          <w:sz w:val="22"/>
          <w:szCs w:val="22"/>
        </w:rPr>
      </w:pPr>
    </w:p>
    <w:p w:rsidR="00F213C0" w:rsidRPr="00F213C0" w:rsidRDefault="00F213C0" w:rsidP="00F213C0">
      <w:pPr>
        <w:pStyle w:val="LGfL2"/>
        <w:spacing w:after="0"/>
        <w:jc w:val="both"/>
        <w:rPr>
          <w:rFonts w:ascii="Verdana" w:hAnsi="Verdana"/>
          <w:sz w:val="22"/>
          <w:szCs w:val="22"/>
        </w:rPr>
      </w:pPr>
      <w:r w:rsidRPr="00F213C0">
        <w:rPr>
          <w:rFonts w:ascii="Verdana" w:hAnsi="Verdana"/>
          <w:sz w:val="22"/>
          <w:szCs w:val="22"/>
        </w:rPr>
        <w:t>Communication:</w:t>
      </w:r>
    </w:p>
    <w:p w:rsidR="00F213C0" w:rsidRPr="00F213C0" w:rsidRDefault="00F213C0" w:rsidP="00F213C0">
      <w:pPr>
        <w:spacing w:after="0" w:line="240" w:lineRule="auto"/>
        <w:ind w:left="737"/>
        <w:jc w:val="both"/>
        <w:rPr>
          <w:rFonts w:ascii="Verdana" w:hAnsi="Verdana"/>
        </w:rPr>
      </w:pP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Practice guidelines to be posted in classrooms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Practice to be part of school induction pack for new staff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Regular updates and training on online safety for all staff.</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Acceptable use agreements discussed with staff and pupils at the start of each year. Acceptable use agreements to be issued to whole Greenfields community. </w:t>
      </w:r>
    </w:p>
    <w:p w:rsidR="00F213C0" w:rsidRPr="00F213C0" w:rsidRDefault="00F213C0" w:rsidP="00F213C0">
      <w:pPr>
        <w:pStyle w:val="LGfL2"/>
        <w:spacing w:after="0"/>
        <w:jc w:val="both"/>
        <w:rPr>
          <w:rFonts w:ascii="Verdana" w:hAnsi="Verdana"/>
          <w:sz w:val="22"/>
          <w:szCs w:val="22"/>
        </w:rPr>
      </w:pPr>
    </w:p>
    <w:p w:rsidR="00235A74" w:rsidRDefault="00235A74" w:rsidP="00F213C0">
      <w:pPr>
        <w:pStyle w:val="LGfL2"/>
        <w:spacing w:after="0"/>
        <w:jc w:val="both"/>
        <w:rPr>
          <w:rFonts w:ascii="Verdana" w:hAnsi="Verdana"/>
          <w:sz w:val="22"/>
          <w:szCs w:val="22"/>
        </w:rPr>
      </w:pPr>
    </w:p>
    <w:p w:rsidR="00235A74" w:rsidRDefault="00235A74" w:rsidP="00F213C0">
      <w:pPr>
        <w:pStyle w:val="LGfL2"/>
        <w:spacing w:after="0"/>
        <w:jc w:val="both"/>
        <w:rPr>
          <w:rFonts w:ascii="Verdana" w:hAnsi="Verdana"/>
          <w:sz w:val="22"/>
          <w:szCs w:val="22"/>
        </w:rPr>
      </w:pPr>
    </w:p>
    <w:p w:rsidR="00F213C0" w:rsidRPr="00F213C0" w:rsidRDefault="00F213C0" w:rsidP="00F213C0">
      <w:pPr>
        <w:pStyle w:val="LGfL2"/>
        <w:spacing w:after="0"/>
        <w:jc w:val="both"/>
        <w:rPr>
          <w:rFonts w:ascii="Verdana" w:hAnsi="Verdana"/>
          <w:sz w:val="22"/>
          <w:szCs w:val="22"/>
        </w:rPr>
      </w:pPr>
      <w:r w:rsidRPr="00F213C0">
        <w:rPr>
          <w:rFonts w:ascii="Verdana" w:hAnsi="Verdana"/>
          <w:sz w:val="22"/>
          <w:szCs w:val="22"/>
        </w:rPr>
        <w:t xml:space="preserve">Handling Incidents: </w:t>
      </w:r>
    </w:p>
    <w:p w:rsidR="00F213C0" w:rsidRPr="00F213C0" w:rsidRDefault="00F213C0" w:rsidP="00F213C0">
      <w:pPr>
        <w:pStyle w:val="LGfL2"/>
        <w:spacing w:after="0"/>
        <w:jc w:val="both"/>
        <w:rPr>
          <w:rFonts w:ascii="Verdana" w:hAnsi="Verdana"/>
          <w:b w:val="0"/>
          <w:sz w:val="22"/>
          <w:szCs w:val="22"/>
        </w:rPr>
      </w:pP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The school will take all reasonable precautions to ensure online safety.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Staff and pupils are given information about infringements in use and possible sanctions.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Online Safety Coordinator acts as first point of contact for any incident. </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Any suspected online risk or infringement is reported to Online Safety Coordinator that day</w:t>
      </w:r>
    </w:p>
    <w:p w:rsidR="00F213C0" w:rsidRPr="00F213C0" w:rsidRDefault="00F213C0" w:rsidP="00F213C0">
      <w:pPr>
        <w:numPr>
          <w:ilvl w:val="0"/>
          <w:numId w:val="16"/>
        </w:numPr>
        <w:spacing w:after="0" w:line="240" w:lineRule="auto"/>
        <w:jc w:val="both"/>
        <w:rPr>
          <w:rFonts w:ascii="Verdana" w:hAnsi="Verdana"/>
        </w:rPr>
      </w:pPr>
      <w:r w:rsidRPr="00F213C0">
        <w:rPr>
          <w:rFonts w:ascii="Verdana" w:hAnsi="Verdana"/>
        </w:rPr>
        <w:t xml:space="preserve">Any concern about staff misuse is always referred directly to the Head Teacher, unless the concern is about the Head Teacher in which case the complaint is referred to the Director/Chair of Governors and the </w:t>
      </w:r>
      <w:r w:rsidRPr="00F213C0">
        <w:rPr>
          <w:rFonts w:ascii="Verdana" w:hAnsi="Verdana"/>
          <w:color w:val="000000" w:themeColor="text1"/>
        </w:rPr>
        <w:t>Compliance Officer.</w:t>
      </w:r>
    </w:p>
    <w:p w:rsidR="00F213C0" w:rsidRPr="00F213C0" w:rsidRDefault="00F213C0" w:rsidP="00F213C0">
      <w:pPr>
        <w:spacing w:after="0" w:line="240" w:lineRule="auto"/>
        <w:jc w:val="both"/>
        <w:rPr>
          <w:rFonts w:ascii="Verdana" w:hAnsi="Verdana"/>
        </w:rPr>
      </w:pPr>
    </w:p>
    <w:p w:rsidR="005D0F6C" w:rsidRDefault="005D0F6C" w:rsidP="00F213C0">
      <w:pPr>
        <w:spacing w:after="0" w:line="240" w:lineRule="auto"/>
        <w:jc w:val="both"/>
        <w:rPr>
          <w:rFonts w:ascii="Verdana" w:hAnsi="Verdana"/>
        </w:rPr>
      </w:pPr>
    </w:p>
    <w:p w:rsidR="00F213C0" w:rsidRDefault="00F213C0" w:rsidP="00F213C0">
      <w:pPr>
        <w:spacing w:after="0" w:line="240" w:lineRule="auto"/>
        <w:jc w:val="both"/>
        <w:rPr>
          <w:rFonts w:ascii="Verdana" w:hAnsi="Verdana"/>
        </w:rPr>
      </w:pPr>
      <w:r w:rsidRPr="00F213C0">
        <w:rPr>
          <w:rFonts w:ascii="Verdana" w:hAnsi="Verdana"/>
        </w:rPr>
        <w:t>This school:</w:t>
      </w:r>
    </w:p>
    <w:p w:rsidR="00DA6BD0" w:rsidRPr="00F213C0" w:rsidRDefault="00DA6BD0" w:rsidP="00F213C0">
      <w:pPr>
        <w:spacing w:after="0" w:line="240" w:lineRule="auto"/>
        <w:jc w:val="both"/>
        <w:rPr>
          <w:rFonts w:ascii="Verdana" w:hAnsi="Verdana"/>
        </w:rPr>
      </w:pP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 xml:space="preserve">informs all users that Internet/email use is monitored; </w:t>
      </w: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 xml:space="preserve">has the educational filtered secure broadband connectivity through the IT provider; </w:t>
      </w: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uses a filtering system which blocks sites that fall into categories (e.g. adult content, race hate, gaming)</w:t>
      </w:r>
    </w:p>
    <w:p w:rsidR="00F213C0" w:rsidRP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 xml:space="preserve">ensures network health through use of </w:t>
      </w:r>
      <w:proofErr w:type="spellStart"/>
      <w:r w:rsidRPr="00F213C0">
        <w:rPr>
          <w:rFonts w:ascii="Verdana" w:eastAsia="Calibri" w:hAnsi="Verdana" w:cs="Wingdings"/>
          <w:color w:val="000000"/>
        </w:rPr>
        <w:t>Securus</w:t>
      </w:r>
      <w:proofErr w:type="spellEnd"/>
      <w:r w:rsidRPr="00F213C0">
        <w:rPr>
          <w:rFonts w:ascii="Verdana" w:eastAsia="Calibri" w:hAnsi="Verdana" w:cs="Wingdings"/>
          <w:color w:val="000000"/>
        </w:rPr>
        <w:t xml:space="preserve"> anti-virus software </w:t>
      </w:r>
    </w:p>
    <w:p w:rsidR="00F213C0" w:rsidRDefault="00F213C0" w:rsidP="00DA6BD0">
      <w:pPr>
        <w:numPr>
          <w:ilvl w:val="0"/>
          <w:numId w:val="17"/>
        </w:numPr>
        <w:tabs>
          <w:tab w:val="clear" w:pos="720"/>
          <w:tab w:val="num" w:pos="1134"/>
        </w:tabs>
        <w:spacing w:before="120" w:after="0" w:line="240" w:lineRule="auto"/>
        <w:ind w:left="1134" w:hanging="425"/>
        <w:contextualSpacing/>
        <w:jc w:val="both"/>
        <w:rPr>
          <w:rFonts w:ascii="Verdana" w:eastAsia="Calibri" w:hAnsi="Verdana" w:cs="Wingdings"/>
          <w:color w:val="000000"/>
        </w:rPr>
      </w:pPr>
      <w:r w:rsidRPr="00F213C0">
        <w:rPr>
          <w:rFonts w:ascii="Verdana" w:eastAsia="Calibri" w:hAnsi="Verdana" w:cs="Wingdings"/>
          <w:color w:val="000000"/>
        </w:rPr>
        <w:t>Uses 'password protect' to send (sensitive personal) data to partner agencies over the Internet</w:t>
      </w:r>
    </w:p>
    <w:p w:rsidR="005D0F6C" w:rsidRPr="00F213C0" w:rsidRDefault="005D0F6C" w:rsidP="005D0F6C">
      <w:pPr>
        <w:spacing w:before="120" w:after="0" w:line="240" w:lineRule="auto"/>
        <w:contextualSpacing/>
        <w:jc w:val="both"/>
        <w:rPr>
          <w:rFonts w:ascii="Verdana" w:eastAsia="Calibri" w:hAnsi="Verdana" w:cs="Wingdings"/>
          <w:color w:val="000000"/>
        </w:rPr>
      </w:pPr>
    </w:p>
    <w:p w:rsidR="00F213C0" w:rsidRPr="00F213C0" w:rsidRDefault="00F213C0" w:rsidP="00F213C0">
      <w:pPr>
        <w:pStyle w:val="LGfL2"/>
        <w:spacing w:after="0"/>
        <w:jc w:val="both"/>
        <w:rPr>
          <w:rFonts w:ascii="Verdana" w:hAnsi="Verdana"/>
          <w:sz w:val="22"/>
          <w:szCs w:val="22"/>
        </w:rPr>
      </w:pPr>
      <w:r w:rsidRPr="00F213C0">
        <w:rPr>
          <w:rFonts w:ascii="Verdana" w:hAnsi="Verdana"/>
          <w:sz w:val="22"/>
          <w:szCs w:val="22"/>
        </w:rPr>
        <w:t>Review and Monitoring</w:t>
      </w:r>
    </w:p>
    <w:p w:rsidR="00F213C0" w:rsidRPr="00F213C0" w:rsidRDefault="00F213C0" w:rsidP="00F213C0">
      <w:pPr>
        <w:pStyle w:val="LGfL2"/>
        <w:spacing w:after="0"/>
        <w:jc w:val="both"/>
        <w:rPr>
          <w:rFonts w:ascii="Verdana" w:hAnsi="Verdana"/>
          <w:sz w:val="22"/>
          <w:szCs w:val="22"/>
        </w:rPr>
      </w:pPr>
    </w:p>
    <w:p w:rsidR="00F213C0" w:rsidRPr="00F213C0" w:rsidRDefault="00F213C0" w:rsidP="00F213C0">
      <w:pPr>
        <w:spacing w:after="0" w:line="240" w:lineRule="auto"/>
        <w:jc w:val="both"/>
        <w:rPr>
          <w:rFonts w:ascii="Verdana" w:hAnsi="Verdana" w:cs="Arial"/>
          <w:iCs/>
        </w:rPr>
      </w:pPr>
      <w:r w:rsidRPr="00F213C0">
        <w:rPr>
          <w:rFonts w:ascii="Verdana" w:hAnsi="Verdana" w:cs="Arial"/>
          <w:iCs/>
        </w:rPr>
        <w:t xml:space="preserve">The online safety practice is referenced within other school policies (e.g. Anti-Bullying policy, PSHE). </w:t>
      </w:r>
    </w:p>
    <w:p w:rsidR="00F213C0" w:rsidRPr="00F213C0" w:rsidRDefault="00F213C0" w:rsidP="00F213C0">
      <w:pPr>
        <w:spacing w:after="0" w:line="240" w:lineRule="auto"/>
        <w:jc w:val="both"/>
        <w:rPr>
          <w:rFonts w:ascii="Verdana" w:hAnsi="Verdana" w:cs="Arial"/>
          <w:color w:val="FF0000"/>
        </w:rPr>
      </w:pPr>
    </w:p>
    <w:p w:rsidR="00F213C0" w:rsidRPr="00F213C0" w:rsidRDefault="00F213C0" w:rsidP="00F213C0">
      <w:pPr>
        <w:numPr>
          <w:ilvl w:val="0"/>
          <w:numId w:val="16"/>
        </w:numPr>
        <w:tabs>
          <w:tab w:val="clear" w:pos="1117"/>
          <w:tab w:val="num" w:pos="709"/>
        </w:tabs>
        <w:spacing w:after="0" w:line="240" w:lineRule="auto"/>
        <w:ind w:left="709" w:hanging="283"/>
        <w:jc w:val="both"/>
        <w:rPr>
          <w:rFonts w:ascii="Verdana" w:hAnsi="Verdana" w:cs="Times New Roman"/>
        </w:rPr>
      </w:pPr>
      <w:bookmarkStart w:id="4" w:name="eztoc174645_0_0_0_2"/>
      <w:bookmarkEnd w:id="4"/>
      <w:r w:rsidRPr="00F213C0">
        <w:rPr>
          <w:rFonts w:ascii="Verdana" w:hAnsi="Verdana"/>
        </w:rPr>
        <w:t>The online safety policy will be reviewed annually or when any significant changes occur with regard to the technologies in use within the school</w:t>
      </w:r>
    </w:p>
    <w:p w:rsidR="00F213C0" w:rsidRPr="00F213C0" w:rsidRDefault="00F213C0" w:rsidP="00F213C0">
      <w:pPr>
        <w:numPr>
          <w:ilvl w:val="0"/>
          <w:numId w:val="16"/>
        </w:numPr>
        <w:tabs>
          <w:tab w:val="clear" w:pos="1117"/>
          <w:tab w:val="num" w:pos="709"/>
        </w:tabs>
        <w:spacing w:after="0" w:line="240" w:lineRule="auto"/>
        <w:ind w:left="709" w:hanging="283"/>
        <w:jc w:val="both"/>
        <w:rPr>
          <w:rFonts w:ascii="Verdana" w:hAnsi="Verdana"/>
        </w:rPr>
      </w:pPr>
      <w:r w:rsidRPr="00F213C0">
        <w:rPr>
          <w:rFonts w:ascii="Verdana" w:hAnsi="Verdana"/>
        </w:rPr>
        <w:t>All amendments to the school online safety practice will be disseminated to all members of staff and pupils.</w:t>
      </w:r>
    </w:p>
    <w:p w:rsidR="00F213C0" w:rsidRPr="00F213C0" w:rsidRDefault="00F213C0" w:rsidP="00F213C0">
      <w:pPr>
        <w:spacing w:before="100" w:beforeAutospacing="1" w:after="120" w:line="240" w:lineRule="auto"/>
        <w:jc w:val="both"/>
        <w:rPr>
          <w:rFonts w:ascii="Verdana" w:eastAsia="Times New Roman" w:hAnsi="Verdana" w:cs="Times New Roman"/>
        </w:rPr>
      </w:pPr>
      <w:r w:rsidRPr="00F213C0">
        <w:rPr>
          <w:rFonts w:ascii="Verdana" w:eastAsia="Times New Roman" w:hAnsi="Verdana" w:cs="Times New Roman"/>
        </w:rPr>
        <w:t>All Local Authorities applying for places at this school will be informed of our safeguarding responsibilities and the existence of this policy</w:t>
      </w:r>
      <w:r>
        <w:rPr>
          <w:rFonts w:ascii="Verdana" w:eastAsia="Times New Roman" w:hAnsi="Verdana" w:cs="Times New Roman"/>
        </w:rPr>
        <w:t>.</w:t>
      </w:r>
    </w:p>
    <w:p w:rsidR="0011117F" w:rsidRPr="0011117F" w:rsidRDefault="0011117F" w:rsidP="002719A6">
      <w:pPr>
        <w:spacing w:before="240" w:after="120" w:line="240" w:lineRule="auto"/>
        <w:jc w:val="both"/>
        <w:outlineLvl w:val="1"/>
        <w:rPr>
          <w:rFonts w:ascii="Verdana" w:eastAsia="Times New Roman" w:hAnsi="Verdana" w:cs="Times New Roman"/>
          <w:b/>
          <w:bCs/>
        </w:rPr>
      </w:pPr>
      <w:r w:rsidRPr="0011117F">
        <w:rPr>
          <w:rFonts w:ascii="Verdana" w:eastAsia="Times New Roman" w:hAnsi="Verdana" w:cs="Times New Roman"/>
          <w:b/>
          <w:bCs/>
          <w:u w:val="single"/>
        </w:rPr>
        <w:t>VULNERABLE PUPILS</w:t>
      </w:r>
    </w:p>
    <w:p w:rsidR="00191D04" w:rsidRPr="00E43ADE" w:rsidRDefault="00191D04"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rPr>
        <w:t xml:space="preserve">All children at Greenfields are deemed to be vulnerable pupils as they are Looked </w:t>
      </w:r>
      <w:proofErr w:type="gramStart"/>
      <w:r w:rsidRPr="00E43ADE">
        <w:rPr>
          <w:rFonts w:ascii="Verdana" w:eastAsia="Times New Roman" w:hAnsi="Verdana" w:cs="Times New Roman"/>
        </w:rPr>
        <w:t>After</w:t>
      </w:r>
      <w:proofErr w:type="gramEnd"/>
      <w:r w:rsidRPr="00E43ADE">
        <w:rPr>
          <w:rFonts w:ascii="Verdana" w:eastAsia="Times New Roman" w:hAnsi="Verdana" w:cs="Times New Roman"/>
        </w:rPr>
        <w:t xml:space="preserve"> Children in their Local Authority care. Although they may have been witness to or affected by any of the types of abuse stated above they may, over time, make disclosures about some of these issues. These disclosures should still be treated as Child Protection or Safeguarding issues. </w:t>
      </w:r>
    </w:p>
    <w:p w:rsid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lastRenderedPageBreak/>
        <w:t>We acknowledge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child-on-child behaviour and sexual activity within a Child Protection context.</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t xml:space="preserve">TRAINING </w:t>
      </w:r>
    </w:p>
    <w:p w:rsid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 xml:space="preserve">Whole-school in-service training on safeguarding issues will be organised on </w:t>
      </w:r>
      <w:r w:rsidR="00191D04" w:rsidRPr="00E43ADE">
        <w:rPr>
          <w:rFonts w:ascii="Verdana" w:eastAsia="Times New Roman" w:hAnsi="Verdana" w:cs="Times New Roman"/>
        </w:rPr>
        <w:t xml:space="preserve">an annual basis </w:t>
      </w:r>
      <w:r w:rsidR="008D4CAF" w:rsidRPr="00E43ADE">
        <w:rPr>
          <w:rFonts w:ascii="Verdana" w:eastAsia="Times New Roman" w:hAnsi="Verdana" w:cs="Times New Roman"/>
        </w:rPr>
        <w:t xml:space="preserve">alongside </w:t>
      </w:r>
      <w:r w:rsidRPr="0011117F">
        <w:rPr>
          <w:rFonts w:ascii="Verdana" w:eastAsia="Times New Roman" w:hAnsi="Verdana" w:cs="Times New Roman"/>
        </w:rPr>
        <w:t>C</w:t>
      </w:r>
      <w:r w:rsidR="008D4CAF" w:rsidRPr="00E43ADE">
        <w:rPr>
          <w:rFonts w:ascii="Verdana" w:eastAsia="Times New Roman" w:hAnsi="Verdana" w:cs="Times New Roman"/>
        </w:rPr>
        <w:t xml:space="preserve">hild </w:t>
      </w:r>
      <w:r w:rsidRPr="0011117F">
        <w:rPr>
          <w:rFonts w:ascii="Verdana" w:eastAsia="Times New Roman" w:hAnsi="Verdana" w:cs="Times New Roman"/>
        </w:rPr>
        <w:t>P</w:t>
      </w:r>
      <w:r w:rsidR="008D4CAF" w:rsidRPr="00E43ADE">
        <w:rPr>
          <w:rFonts w:ascii="Verdana" w:eastAsia="Times New Roman" w:hAnsi="Verdana" w:cs="Times New Roman"/>
        </w:rPr>
        <w:t>rotection updates.</w:t>
      </w:r>
      <w:r w:rsidRPr="0011117F">
        <w:rPr>
          <w:rFonts w:ascii="Verdana" w:eastAsia="Times New Roman" w:hAnsi="Verdana" w:cs="Times New Roman"/>
        </w:rPr>
        <w:t xml:space="preserve"> All newly recruited staff (teaching and non-teaching) and Governors will be </w:t>
      </w:r>
      <w:proofErr w:type="gramStart"/>
      <w:r w:rsidRPr="0011117F">
        <w:rPr>
          <w:rFonts w:ascii="Verdana" w:eastAsia="Times New Roman" w:hAnsi="Verdana" w:cs="Times New Roman"/>
        </w:rPr>
        <w:t>appraised</w:t>
      </w:r>
      <w:proofErr w:type="gramEnd"/>
      <w:r w:rsidRPr="0011117F">
        <w:rPr>
          <w:rFonts w:ascii="Verdana" w:eastAsia="Times New Roman" w:hAnsi="Verdana" w:cs="Times New Roman"/>
        </w:rPr>
        <w:t xml:space="preserve"> of this policy and will be required to attend relevant </w:t>
      </w:r>
      <w:r w:rsidR="008D4CAF" w:rsidRPr="00E43ADE">
        <w:rPr>
          <w:rFonts w:ascii="Verdana" w:eastAsia="Times New Roman" w:hAnsi="Verdana" w:cs="Times New Roman"/>
        </w:rPr>
        <w:t>Safeguarding</w:t>
      </w:r>
      <w:r w:rsidRPr="0011117F">
        <w:rPr>
          <w:rFonts w:ascii="Verdana" w:eastAsia="Times New Roman" w:hAnsi="Verdana" w:cs="Times New Roman"/>
        </w:rPr>
        <w:t xml:space="preserve"> training. In addition, all new staff will be required to attend an induction session with the Designated Safe</w:t>
      </w:r>
      <w:r w:rsidR="008D4CAF" w:rsidRPr="00E43ADE">
        <w:rPr>
          <w:rFonts w:ascii="Verdana" w:eastAsia="Times New Roman" w:hAnsi="Verdana" w:cs="Times New Roman"/>
        </w:rPr>
        <w:t>guarding Lead or their deputy within their first week</w:t>
      </w:r>
      <w:r w:rsidRPr="0011117F">
        <w:rPr>
          <w:rFonts w:ascii="Verdana" w:eastAsia="Times New Roman" w:hAnsi="Verdana" w:cs="Times New Roman"/>
        </w:rPr>
        <w:t xml:space="preserve"> in the school. </w:t>
      </w:r>
    </w:p>
    <w:p w:rsidR="00935098" w:rsidRDefault="00935098" w:rsidP="00935098">
      <w:pPr>
        <w:spacing w:before="100" w:beforeAutospacing="1" w:after="120" w:line="240" w:lineRule="auto"/>
        <w:jc w:val="both"/>
        <w:rPr>
          <w:rFonts w:ascii="Verdana" w:eastAsia="Times New Roman" w:hAnsi="Verdana" w:cs="Times New Roman"/>
        </w:rPr>
      </w:pPr>
      <w:r>
        <w:rPr>
          <w:rFonts w:ascii="Verdana" w:eastAsia="Times New Roman" w:hAnsi="Verdana" w:cs="Times New Roman"/>
        </w:rPr>
        <w:t>All members of staff have been provided with a copy of Part 1 “Keeping Children Safe in Education (2018)” which covers safeguarding information for all staff.  School leaders will read the whole document.  School leaders and all members of staff who work directly with children will access Annexe A within Keeping Children Safe in Education (2018). Members of staff have signed to confirm that they have read and understoo</w:t>
      </w:r>
      <w:r w:rsidR="006F628D">
        <w:rPr>
          <w:rFonts w:ascii="Verdana" w:eastAsia="Times New Roman" w:hAnsi="Verdana" w:cs="Times New Roman"/>
        </w:rPr>
        <w:t>d Part 1 and Annexe A.  This is kept in the school admin office.</w:t>
      </w:r>
    </w:p>
    <w:p w:rsidR="0011117F" w:rsidRPr="0011117F" w:rsidRDefault="0011117F" w:rsidP="00935098">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b/>
          <w:bCs/>
          <w:u w:val="single"/>
        </w:rPr>
        <w:t>RECRUITMENT</w:t>
      </w:r>
    </w:p>
    <w:p w:rsidR="00DA6BD0" w:rsidRDefault="008D4CAF"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rPr>
        <w:t>Greenfields</w:t>
      </w:r>
      <w:r w:rsidR="0011117F" w:rsidRPr="0011117F">
        <w:rPr>
          <w:rFonts w:ascii="Verdana" w:eastAsia="Times New Roman" w:hAnsi="Verdana" w:cs="Times New Roman"/>
        </w:rPr>
        <w:t xml:space="preserve"> is committed to the process of creating a culture of safe recruitment and, as part of that, adopt recruitment procedures that help deter, reject or identify people who might abuse children. Safe recruitment processes are followed and all staff recruited to the school will be subject to appropriate identity, qualification and health checks. </w:t>
      </w:r>
    </w:p>
    <w:p w:rsidR="0011117F" w:rsidRPr="00E43ADE"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 xml:space="preserve">References will be verified and appropriate criminal record checks [Disclosure and Barring Service (DBS) checks], barred list checks and prohibition checks will be undertaken. The </w:t>
      </w:r>
      <w:r w:rsidR="008D4CAF" w:rsidRPr="00560F1C">
        <w:rPr>
          <w:rFonts w:ascii="Verdana" w:eastAsia="Times New Roman" w:hAnsi="Verdana" w:cs="Times New Roman"/>
        </w:rPr>
        <w:t>enhanced</w:t>
      </w:r>
      <w:r w:rsidR="008D4CAF" w:rsidRPr="00E43ADE">
        <w:rPr>
          <w:rFonts w:ascii="Verdana" w:eastAsia="Times New Roman" w:hAnsi="Verdana" w:cs="Times New Roman"/>
        </w:rPr>
        <w:t xml:space="preserve"> </w:t>
      </w:r>
      <w:r w:rsidRPr="0011117F">
        <w:rPr>
          <w:rFonts w:ascii="Verdana" w:eastAsia="Times New Roman" w:hAnsi="Verdana" w:cs="Times New Roman"/>
        </w:rPr>
        <w:t>level of DBS check required</w:t>
      </w:r>
      <w:r w:rsidR="00E43ADE">
        <w:rPr>
          <w:rFonts w:ascii="Verdana" w:eastAsia="Times New Roman" w:hAnsi="Verdana" w:cs="Times New Roman"/>
        </w:rPr>
        <w:t xml:space="preserve"> for appointment of all staff</w:t>
      </w:r>
      <w:r w:rsidR="008D4CAF" w:rsidRPr="00E43ADE">
        <w:rPr>
          <w:rFonts w:ascii="Verdana" w:eastAsia="Times New Roman" w:hAnsi="Verdana" w:cs="Times New Roman"/>
        </w:rPr>
        <w:t>.</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 xml:space="preserve">Relevant members of staff who are involved in recruitment will undertake the safer recruitment training. </w:t>
      </w:r>
    </w:p>
    <w:p w:rsid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This School will only use employment agencies which can demonstrate that they positively vet their supply staff and will report the misconduct of temporary or agenc</w:t>
      </w:r>
      <w:r w:rsidR="008D4CAF" w:rsidRPr="00E43ADE">
        <w:rPr>
          <w:rFonts w:ascii="Verdana" w:eastAsia="Times New Roman" w:hAnsi="Verdana" w:cs="Times New Roman"/>
        </w:rPr>
        <w:t xml:space="preserve">y staff to the agency concerned. </w:t>
      </w:r>
      <w:r w:rsidRPr="0011117F">
        <w:rPr>
          <w:rFonts w:ascii="Verdana" w:eastAsia="Times New Roman" w:hAnsi="Verdana" w:cs="Times New Roman"/>
        </w:rPr>
        <w:t>Staff joining the School on a permanent or temporary basis will be given a copy of this policy. Additionally, the Staff Handbook confirms C</w:t>
      </w:r>
      <w:r w:rsidR="008D4CAF" w:rsidRPr="00E43ADE">
        <w:rPr>
          <w:rFonts w:ascii="Verdana" w:eastAsia="Times New Roman" w:hAnsi="Verdana" w:cs="Times New Roman"/>
        </w:rPr>
        <w:t xml:space="preserve">hild </w:t>
      </w:r>
      <w:r w:rsidRPr="0011117F">
        <w:rPr>
          <w:rFonts w:ascii="Verdana" w:eastAsia="Times New Roman" w:hAnsi="Verdana" w:cs="Times New Roman"/>
        </w:rPr>
        <w:t>P</w:t>
      </w:r>
      <w:r w:rsidR="008D4CAF" w:rsidRPr="00E43ADE">
        <w:rPr>
          <w:rFonts w:ascii="Verdana" w:eastAsia="Times New Roman" w:hAnsi="Verdana" w:cs="Times New Roman"/>
        </w:rPr>
        <w:t>rotection</w:t>
      </w:r>
      <w:r w:rsidRPr="0011117F">
        <w:rPr>
          <w:rFonts w:ascii="Verdana" w:eastAsia="Times New Roman" w:hAnsi="Verdana" w:cs="Times New Roman"/>
        </w:rPr>
        <w:t xml:space="preserve"> procedures within the School.</w:t>
      </w:r>
    </w:p>
    <w:p w:rsidR="00935098" w:rsidRPr="0011117F" w:rsidRDefault="00935098" w:rsidP="002719A6">
      <w:pPr>
        <w:spacing w:before="100" w:beforeAutospacing="1" w:after="120" w:line="240" w:lineRule="auto"/>
        <w:jc w:val="both"/>
        <w:rPr>
          <w:rFonts w:ascii="Verdana" w:eastAsia="Times New Roman" w:hAnsi="Verdana" w:cs="Times New Roman"/>
        </w:rPr>
      </w:pP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lastRenderedPageBreak/>
        <w:t xml:space="preserve">STAFF CODE OF CONDUCT </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 xml:space="preserve">All </w:t>
      </w:r>
      <w:r w:rsidR="00CB60D5">
        <w:rPr>
          <w:rFonts w:ascii="Verdana" w:eastAsia="Times New Roman" w:hAnsi="Verdana" w:cs="Times New Roman"/>
        </w:rPr>
        <w:t xml:space="preserve">members of </w:t>
      </w:r>
      <w:r w:rsidRPr="0011117F">
        <w:rPr>
          <w:rFonts w:ascii="Verdana" w:eastAsia="Times New Roman" w:hAnsi="Verdana" w:cs="Times New Roman"/>
        </w:rPr>
        <w:t>staff are</w:t>
      </w:r>
      <w:r w:rsidR="00CB60D5">
        <w:rPr>
          <w:rFonts w:ascii="Verdana" w:eastAsia="Times New Roman" w:hAnsi="Verdana" w:cs="Times New Roman"/>
        </w:rPr>
        <w:t xml:space="preserve"> required to work within clear guidelines on Safe Working Practice/Schools’ Code of Conduct. </w:t>
      </w:r>
      <w:r w:rsidRPr="0011117F">
        <w:rPr>
          <w:rFonts w:ascii="Verdana" w:eastAsia="Times New Roman" w:hAnsi="Verdana" w:cs="Times New Roman"/>
        </w:rPr>
        <w:t xml:space="preserve"> </w:t>
      </w:r>
      <w:r w:rsidR="00CB60D5">
        <w:rPr>
          <w:rFonts w:ascii="Verdana" w:eastAsia="Times New Roman" w:hAnsi="Verdana" w:cs="Times New Roman"/>
        </w:rPr>
        <w:t xml:space="preserve">Staff should be aware of the School’s Behaviour Management Policy and use of reasonable force </w:t>
      </w:r>
      <w:r w:rsidR="00167CF5">
        <w:rPr>
          <w:rFonts w:ascii="Verdana" w:eastAsia="Times New Roman" w:hAnsi="Verdana" w:cs="Times New Roman"/>
        </w:rPr>
        <w:t>in conjunction with MAPA training and</w:t>
      </w:r>
      <w:r w:rsidR="00CB60D5">
        <w:rPr>
          <w:rFonts w:ascii="Verdana" w:eastAsia="Times New Roman" w:hAnsi="Verdana" w:cs="Times New Roman"/>
        </w:rPr>
        <w:t xml:space="preserve"> Tri-x</w:t>
      </w:r>
      <w:r w:rsidR="00167CF5">
        <w:rPr>
          <w:rFonts w:ascii="Verdana" w:eastAsia="Times New Roman" w:hAnsi="Verdana" w:cs="Times New Roman"/>
        </w:rPr>
        <w:t xml:space="preserve"> policy. </w:t>
      </w:r>
      <w:r w:rsidRPr="0011117F">
        <w:rPr>
          <w:rFonts w:ascii="Verdana" w:eastAsia="Times New Roman" w:hAnsi="Verdana" w:cs="Times New Roman"/>
        </w:rPr>
        <w:t xml:space="preserve">Children will be treated with respect and dignity and no punishment, detention, restraint, sanctions or rewards are allowed outside of those detailed in the school’s Behaviour Management Policy. </w:t>
      </w:r>
      <w:r w:rsidR="008D4CAF" w:rsidRPr="00E43ADE">
        <w:rPr>
          <w:rFonts w:ascii="Verdana" w:eastAsia="Times New Roman" w:hAnsi="Verdana" w:cs="Times New Roman"/>
        </w:rPr>
        <w:t>W</w:t>
      </w:r>
      <w:r w:rsidRPr="0011117F">
        <w:rPr>
          <w:rFonts w:ascii="Verdana" w:eastAsia="Times New Roman" w:hAnsi="Verdana" w:cs="Times New Roman"/>
        </w:rPr>
        <w:t>here it becomes necessary to physically restrain a pupil for their own protection or others’ safety, this will be appropriately recorded and reported to the Head</w:t>
      </w:r>
      <w:r w:rsidR="008D4CAF" w:rsidRPr="00E43ADE">
        <w:rPr>
          <w:rFonts w:ascii="Verdana" w:eastAsia="Times New Roman" w:hAnsi="Verdana" w:cs="Times New Roman"/>
        </w:rPr>
        <w:t xml:space="preserve"> Teacher and Director</w:t>
      </w:r>
      <w:r w:rsidRPr="0011117F">
        <w:rPr>
          <w:rFonts w:ascii="Verdana" w:eastAsia="Times New Roman" w:hAnsi="Verdana" w:cs="Times New Roman"/>
        </w:rPr>
        <w:t>.</w:t>
      </w:r>
      <w:r w:rsidR="008D4CAF" w:rsidRPr="00E43ADE">
        <w:rPr>
          <w:rFonts w:ascii="Verdana" w:eastAsia="Times New Roman" w:hAnsi="Verdana" w:cs="Times New Roman"/>
        </w:rPr>
        <w:t xml:space="preserve"> It will also be reported to the child's Social Worker.</w:t>
      </w:r>
      <w:r w:rsidRPr="0011117F">
        <w:rPr>
          <w:rFonts w:ascii="Verdana" w:eastAsia="Times New Roman" w:hAnsi="Verdana" w:cs="Times New Roman"/>
        </w:rPr>
        <w:t xml:space="preserve"> </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Staff will only use the school’s digital technology resources and systems for Professional purposes or for uses deemed ‘reasonable’ by the Head and Governing Body. Staff will only use the approved school email, school Learning Platform or other school approved communication</w:t>
      </w:r>
      <w:r w:rsidR="008D4CAF" w:rsidRPr="00E43ADE">
        <w:rPr>
          <w:rFonts w:ascii="Verdana" w:eastAsia="Times New Roman" w:hAnsi="Verdana" w:cs="Times New Roman"/>
        </w:rPr>
        <w:t xml:space="preserve"> systems with pupils or </w:t>
      </w:r>
      <w:r w:rsidRPr="0011117F">
        <w:rPr>
          <w:rFonts w:ascii="Verdana" w:eastAsia="Times New Roman" w:hAnsi="Verdana" w:cs="Times New Roman"/>
        </w:rPr>
        <w:t>carers, and only communicate with them on appropriate school business and will not disclose their personal telephone numbers and email</w:t>
      </w:r>
      <w:r w:rsidR="008D4CAF" w:rsidRPr="00E43ADE">
        <w:rPr>
          <w:rFonts w:ascii="Verdana" w:eastAsia="Times New Roman" w:hAnsi="Verdana" w:cs="Times New Roman"/>
        </w:rPr>
        <w:t xml:space="preserve"> addresses to pupils or </w:t>
      </w:r>
      <w:r w:rsidRPr="0011117F">
        <w:rPr>
          <w:rFonts w:ascii="Verdana" w:eastAsia="Times New Roman" w:hAnsi="Verdana" w:cs="Times New Roman"/>
        </w:rPr>
        <w:t>carers. Staff will not use personal cameras (digital or otherwise) or camera phones for taking and transferring images of pupils or staff without permission and will not store images at home.</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Staff should be aware of the school’s whistle-blowing procedures and share immediately any disclosure or concern that relates to a member of staff with the Head</w:t>
      </w:r>
      <w:r w:rsidR="008D4CAF" w:rsidRPr="00E43ADE">
        <w:rPr>
          <w:rFonts w:ascii="Verdana" w:eastAsia="Times New Roman" w:hAnsi="Verdana" w:cs="Times New Roman"/>
        </w:rPr>
        <w:t xml:space="preserve"> Teacher or </w:t>
      </w:r>
      <w:r w:rsidRPr="0011117F">
        <w:rPr>
          <w:rFonts w:ascii="Verdana" w:eastAsia="Times New Roman" w:hAnsi="Verdana" w:cs="Times New Roman"/>
        </w:rPr>
        <w:t>t</w:t>
      </w:r>
      <w:r w:rsidR="008D4CAF" w:rsidRPr="00E43ADE">
        <w:rPr>
          <w:rFonts w:ascii="Verdana" w:eastAsia="Times New Roman" w:hAnsi="Verdana" w:cs="Times New Roman"/>
        </w:rPr>
        <w:t>he Designated Safeguarding Lead.</w:t>
      </w:r>
      <w:r w:rsidRPr="0011117F">
        <w:rPr>
          <w:rFonts w:ascii="Verdana" w:eastAsia="Times New Roman" w:hAnsi="Verdana" w:cs="Times New Roman"/>
        </w:rPr>
        <w:t xml:space="preserve"> </w:t>
      </w:r>
      <w:r w:rsidR="008D4CAF" w:rsidRPr="00E43ADE">
        <w:rPr>
          <w:rFonts w:ascii="Verdana" w:eastAsia="Times New Roman" w:hAnsi="Verdana" w:cs="Times New Roman"/>
        </w:rPr>
        <w:t>N</w:t>
      </w:r>
      <w:r w:rsidRPr="0011117F">
        <w:rPr>
          <w:rFonts w:ascii="Verdana" w:eastAsia="Times New Roman" w:hAnsi="Verdana" w:cs="Times New Roman"/>
        </w:rPr>
        <w:t xml:space="preserve">othing should be said to the colleague involved. </w:t>
      </w:r>
    </w:p>
    <w:p w:rsidR="005D0F6C" w:rsidRDefault="005D0F6C" w:rsidP="002719A6">
      <w:pPr>
        <w:spacing w:before="100" w:beforeAutospacing="1" w:after="100" w:afterAutospacing="1" w:line="240" w:lineRule="auto"/>
        <w:jc w:val="both"/>
        <w:rPr>
          <w:rFonts w:ascii="Verdana" w:eastAsia="Times New Roman" w:hAnsi="Verdana" w:cs="Times New Roman"/>
          <w:b/>
          <w:bCs/>
          <w:u w:val="single"/>
        </w:rPr>
      </w:pP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t>CONTRACTORS</w:t>
      </w:r>
    </w:p>
    <w:p w:rsidR="00DA6BD0" w:rsidRDefault="0011117F" w:rsidP="002719A6">
      <w:p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 xml:space="preserve">Individuals and organisations that are contracted by the school to work with or provide services to pupils will be expected to adhere to this policy and their compliance will be monitored. Any such contractors will be subject to the appropriate level of DBS check, if any such check is required (for example because the contractor is carrying out teaching or providing some type of care for or supervision of children regularly). </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Contractors for whom an appropriate DBS check has not been undertaken will be supervised if they will have contact with children. We will always check the identity of contractors and their staff on arrival at the school.</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t>COMPLAINTS/ALLEGATIONS MADE AGAINST STAFF</w:t>
      </w:r>
    </w:p>
    <w:p w:rsidR="0011117F" w:rsidRPr="0011117F" w:rsidRDefault="00FA39CA" w:rsidP="002719A6">
      <w:pPr>
        <w:spacing w:before="100" w:beforeAutospacing="1" w:after="120" w:line="240" w:lineRule="auto"/>
        <w:jc w:val="both"/>
        <w:rPr>
          <w:rFonts w:ascii="Verdana" w:eastAsia="Times New Roman" w:hAnsi="Verdana" w:cs="Times New Roman"/>
        </w:rPr>
      </w:pPr>
      <w:r w:rsidRPr="00E43ADE">
        <w:rPr>
          <w:rFonts w:ascii="Verdana" w:eastAsia="Times New Roman" w:hAnsi="Verdana" w:cs="Times New Roman"/>
        </w:rPr>
        <w:t>Greenfields</w:t>
      </w:r>
      <w:r w:rsidR="0011117F" w:rsidRPr="0011117F">
        <w:rPr>
          <w:rFonts w:ascii="Verdana" w:eastAsia="Times New Roman" w:hAnsi="Verdana" w:cs="Times New Roman"/>
        </w:rPr>
        <w:t xml:space="preserve"> takes seriously all complaints made against members of staff. Procedures </w:t>
      </w:r>
      <w:r w:rsidRPr="00E43ADE">
        <w:rPr>
          <w:rFonts w:ascii="Verdana" w:eastAsia="Times New Roman" w:hAnsi="Verdana" w:cs="Times New Roman"/>
        </w:rPr>
        <w:t>are in place for pupils, carers, social workers</w:t>
      </w:r>
      <w:r w:rsidR="0011117F" w:rsidRPr="0011117F">
        <w:rPr>
          <w:rFonts w:ascii="Verdana" w:eastAsia="Times New Roman" w:hAnsi="Verdana" w:cs="Times New Roman"/>
        </w:rPr>
        <w:t xml:space="preserve"> and staff to share any concern that they may have about the actions </w:t>
      </w:r>
      <w:r w:rsidRPr="00E43ADE">
        <w:rPr>
          <w:rFonts w:ascii="Verdana" w:eastAsia="Times New Roman" w:hAnsi="Verdana" w:cs="Times New Roman"/>
        </w:rPr>
        <w:t>of any member staff</w:t>
      </w:r>
      <w:r w:rsidR="0011117F" w:rsidRPr="0011117F">
        <w:rPr>
          <w:rFonts w:ascii="Verdana" w:eastAsia="Times New Roman" w:hAnsi="Verdana" w:cs="Times New Roman"/>
        </w:rPr>
        <w:t xml:space="preserve">. All such complaints will be brought immediately to the </w:t>
      </w:r>
      <w:r w:rsidR="0011117F" w:rsidRPr="0011117F">
        <w:rPr>
          <w:rFonts w:ascii="Verdana" w:eastAsia="Times New Roman" w:hAnsi="Verdana" w:cs="Times New Roman"/>
        </w:rPr>
        <w:lastRenderedPageBreak/>
        <w:t>attention of the Head</w:t>
      </w:r>
      <w:r w:rsidRPr="00E43ADE">
        <w:rPr>
          <w:rFonts w:ascii="Verdana" w:eastAsia="Times New Roman" w:hAnsi="Verdana" w:cs="Times New Roman"/>
        </w:rPr>
        <w:t xml:space="preserve"> Teacher or </w:t>
      </w:r>
      <w:r w:rsidR="0011117F" w:rsidRPr="0011117F">
        <w:rPr>
          <w:rFonts w:ascii="Verdana" w:eastAsia="Times New Roman" w:hAnsi="Verdana" w:cs="Times New Roman"/>
        </w:rPr>
        <w:t>t</w:t>
      </w:r>
      <w:r w:rsidRPr="00E43ADE">
        <w:rPr>
          <w:rFonts w:ascii="Verdana" w:eastAsia="Times New Roman" w:hAnsi="Verdana" w:cs="Times New Roman"/>
        </w:rPr>
        <w:t xml:space="preserve">he Designated Safeguarding Lead. </w:t>
      </w:r>
      <w:r w:rsidR="0011117F" w:rsidRPr="0011117F">
        <w:rPr>
          <w:rFonts w:ascii="Verdana" w:eastAsia="Times New Roman" w:hAnsi="Verdana" w:cs="Times New Roman"/>
        </w:rPr>
        <w:t>In cases where the Head</w:t>
      </w:r>
      <w:r w:rsidRPr="00E43ADE">
        <w:rPr>
          <w:rFonts w:ascii="Verdana" w:eastAsia="Times New Roman" w:hAnsi="Verdana" w:cs="Times New Roman"/>
        </w:rPr>
        <w:t xml:space="preserve"> T</w:t>
      </w:r>
      <w:r w:rsidR="0011117F" w:rsidRPr="0011117F">
        <w:rPr>
          <w:rFonts w:ascii="Verdana" w:eastAsia="Times New Roman" w:hAnsi="Verdana" w:cs="Times New Roman"/>
        </w:rPr>
        <w:t xml:space="preserve">eacher is the </w:t>
      </w:r>
      <w:r w:rsidR="0011117F" w:rsidRPr="00560F1C">
        <w:rPr>
          <w:rFonts w:ascii="Verdana" w:eastAsia="Times New Roman" w:hAnsi="Verdana" w:cs="Times New Roman"/>
        </w:rPr>
        <w:t>subject of the allegation or concern, they will be re</w:t>
      </w:r>
      <w:r w:rsidRPr="00560F1C">
        <w:rPr>
          <w:rFonts w:ascii="Verdana" w:eastAsia="Times New Roman" w:hAnsi="Verdana" w:cs="Times New Roman"/>
        </w:rPr>
        <w:t>ported to the Director and the Chair of Governors</w:t>
      </w:r>
      <w:r w:rsidR="0011117F" w:rsidRPr="00560F1C">
        <w:rPr>
          <w:rFonts w:ascii="Verdana" w:eastAsia="Times New Roman" w:hAnsi="Verdana" w:cs="Times New Roman"/>
        </w:rPr>
        <w:t>,</w:t>
      </w:r>
      <w:r w:rsidR="0011117F" w:rsidRPr="0011117F">
        <w:rPr>
          <w:rFonts w:ascii="Verdana" w:eastAsia="Times New Roman" w:hAnsi="Verdana" w:cs="Times New Roman"/>
        </w:rPr>
        <w:t xml:space="preserve"> in order that they may activate the appropriate procedures. These procedures are used in respect of all cases in which it is alleged that a teacher or member</w:t>
      </w:r>
      <w:r w:rsidRPr="00E43ADE">
        <w:rPr>
          <w:rFonts w:ascii="Verdana" w:eastAsia="Times New Roman" w:hAnsi="Verdana" w:cs="Times New Roman"/>
        </w:rPr>
        <w:t xml:space="preserve"> of staff </w:t>
      </w:r>
      <w:r w:rsidR="0011117F" w:rsidRPr="0011117F">
        <w:rPr>
          <w:rFonts w:ascii="Verdana" w:eastAsia="Times New Roman" w:hAnsi="Verdana" w:cs="Times New Roman"/>
        </w:rPr>
        <w:t xml:space="preserve">in a school or college that provides education for children </w:t>
      </w:r>
      <w:proofErr w:type="gramStart"/>
      <w:r w:rsidR="0011117F" w:rsidRPr="0011117F">
        <w:rPr>
          <w:rFonts w:ascii="Verdana" w:eastAsia="Times New Roman" w:hAnsi="Verdana" w:cs="Times New Roman"/>
        </w:rPr>
        <w:t>under</w:t>
      </w:r>
      <w:proofErr w:type="gramEnd"/>
      <w:r w:rsidR="0011117F" w:rsidRPr="0011117F">
        <w:rPr>
          <w:rFonts w:ascii="Verdana" w:eastAsia="Times New Roman" w:hAnsi="Verdana" w:cs="Times New Roman"/>
        </w:rPr>
        <w:t xml:space="preserve"> 18 years of age has:</w:t>
      </w:r>
    </w:p>
    <w:p w:rsidR="0011117F" w:rsidRPr="0011117F" w:rsidRDefault="0011117F" w:rsidP="002719A6">
      <w:pPr>
        <w:numPr>
          <w:ilvl w:val="0"/>
          <w:numId w:val="6"/>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behaved in a way that has harmed a child, or may have harmed a child;</w:t>
      </w:r>
    </w:p>
    <w:p w:rsidR="0011117F" w:rsidRPr="0011117F" w:rsidRDefault="0011117F" w:rsidP="002719A6">
      <w:pPr>
        <w:numPr>
          <w:ilvl w:val="0"/>
          <w:numId w:val="6"/>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possibly committed a criminal offence against or related to a child; or</w:t>
      </w:r>
    </w:p>
    <w:p w:rsidR="0011117F" w:rsidRPr="0011117F" w:rsidRDefault="0011117F" w:rsidP="002719A6">
      <w:pPr>
        <w:numPr>
          <w:ilvl w:val="0"/>
          <w:numId w:val="6"/>
        </w:numPr>
        <w:spacing w:before="100" w:beforeAutospacing="1" w:after="100" w:afterAutospacing="1" w:line="240" w:lineRule="auto"/>
        <w:jc w:val="both"/>
        <w:rPr>
          <w:rFonts w:ascii="Verdana" w:eastAsia="Times New Roman" w:hAnsi="Verdana" w:cs="Times New Roman"/>
        </w:rPr>
      </w:pPr>
      <w:proofErr w:type="gramStart"/>
      <w:r w:rsidRPr="0011117F">
        <w:rPr>
          <w:rFonts w:ascii="Verdana" w:eastAsia="Times New Roman" w:hAnsi="Verdana" w:cs="Times New Roman"/>
        </w:rPr>
        <w:t>behaved</w:t>
      </w:r>
      <w:proofErr w:type="gramEnd"/>
      <w:r w:rsidRPr="0011117F">
        <w:rPr>
          <w:rFonts w:ascii="Verdana" w:eastAsia="Times New Roman" w:hAnsi="Verdana" w:cs="Times New Roman"/>
        </w:rPr>
        <w:t xml:space="preserve"> towards a child or children in a way that indicates he or she would pose a risk of harm</w:t>
      </w:r>
      <w:r w:rsidR="00FA39CA" w:rsidRPr="00E43ADE">
        <w:rPr>
          <w:rFonts w:ascii="Verdana" w:eastAsia="Times New Roman" w:hAnsi="Verdana" w:cs="Times New Roman"/>
        </w:rPr>
        <w:t xml:space="preserve"> to</w:t>
      </w:r>
      <w:r w:rsidRPr="0011117F">
        <w:rPr>
          <w:rFonts w:ascii="Verdana" w:eastAsia="Times New Roman" w:hAnsi="Verdana" w:cs="Times New Roman"/>
        </w:rPr>
        <w:t xml:space="preserve"> children.</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The Local Authority’s Designated Officer(s) (</w:t>
      </w:r>
      <w:r w:rsidR="00FA39CA" w:rsidRPr="00E43ADE">
        <w:rPr>
          <w:rFonts w:ascii="Verdana" w:eastAsia="Times New Roman" w:hAnsi="Verdana" w:cs="Times New Roman"/>
        </w:rPr>
        <w:t>LA</w:t>
      </w:r>
      <w:r w:rsidRPr="0011117F">
        <w:rPr>
          <w:rFonts w:ascii="Verdana" w:eastAsia="Times New Roman" w:hAnsi="Verdana" w:cs="Times New Roman"/>
        </w:rPr>
        <w:t>DO) should be informed of all allegations that come to a school’s attention and appear to meet the criteria. Many cases may well either not meet the criteria set out above, or may do so without warranting consideration of either a police investigation or enquiries by local authority children’s social care services. In these cases, local arrangements will be followed to resolve cases without delay.</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 xml:space="preserve">Some rare allegations will be so serious they will require immediate intervention by children’s social care services and/or police. In such cases, referral to the </w:t>
      </w:r>
      <w:r w:rsidR="00FA39CA" w:rsidRPr="00E43ADE">
        <w:rPr>
          <w:rFonts w:ascii="Verdana" w:eastAsia="Times New Roman" w:hAnsi="Verdana" w:cs="Times New Roman"/>
        </w:rPr>
        <w:t>LA</w:t>
      </w:r>
      <w:r w:rsidRPr="0011117F">
        <w:rPr>
          <w:rFonts w:ascii="Verdana" w:eastAsia="Times New Roman" w:hAnsi="Verdana" w:cs="Times New Roman"/>
        </w:rPr>
        <w:t>DO will lead to a Strategy M</w:t>
      </w:r>
      <w:r w:rsidR="00FA39CA" w:rsidRPr="00E43ADE">
        <w:rPr>
          <w:rFonts w:ascii="Verdana" w:eastAsia="Times New Roman" w:hAnsi="Verdana" w:cs="Times New Roman"/>
        </w:rPr>
        <w:t xml:space="preserve">eeting or Discussion being held. </w:t>
      </w:r>
      <w:r w:rsidRPr="0011117F">
        <w:rPr>
          <w:rFonts w:ascii="Verdana" w:eastAsia="Times New Roman" w:hAnsi="Verdana" w:cs="Times New Roman"/>
        </w:rPr>
        <w:t>This process will agree upon the appropriate course of action and the time-scale for investigations.</w:t>
      </w:r>
    </w:p>
    <w:p w:rsidR="0011117F" w:rsidRPr="0011117F" w:rsidRDefault="0011117F" w:rsidP="002719A6">
      <w:pPr>
        <w:spacing w:before="100" w:beforeAutospacing="1" w:after="120" w:line="240" w:lineRule="auto"/>
        <w:jc w:val="both"/>
        <w:rPr>
          <w:rFonts w:ascii="Verdana" w:eastAsia="Times New Roman" w:hAnsi="Verdana" w:cs="Times New Roman"/>
          <w:color w:val="FF0000"/>
        </w:rPr>
      </w:pPr>
      <w:r w:rsidRPr="00560F1C">
        <w:rPr>
          <w:rFonts w:ascii="Verdana" w:eastAsia="Times New Roman" w:hAnsi="Verdana" w:cs="Times New Roman"/>
        </w:rPr>
        <w:t>The school has a legal duty to refer to the DBS anyone who has harmed, or poses a risk of harm, to a child and who has been remov</w:t>
      </w:r>
      <w:r w:rsidR="00FA39CA" w:rsidRPr="00560F1C">
        <w:rPr>
          <w:rFonts w:ascii="Verdana" w:eastAsia="Times New Roman" w:hAnsi="Verdana" w:cs="Times New Roman"/>
        </w:rPr>
        <w:t xml:space="preserve">ed from working </w:t>
      </w:r>
      <w:r w:rsidRPr="00560F1C">
        <w:rPr>
          <w:rFonts w:ascii="Verdana" w:eastAsia="Times New Roman" w:hAnsi="Verdana" w:cs="Times New Roman"/>
        </w:rPr>
        <w:t xml:space="preserve"> in regulated activity, or would have been removed had they not left. The DBS will consider whether to bar the person. Referrals will be made as soon as possible after the resignation or removal of the individual.</w:t>
      </w:r>
      <w:r w:rsidR="00560F1C">
        <w:rPr>
          <w:rFonts w:ascii="Verdana" w:eastAsia="Times New Roman" w:hAnsi="Verdana" w:cs="Times New Roman"/>
        </w:rPr>
        <w:t xml:space="preserve"> </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t>RECORDS</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Brief and accurate written notes will be kept of all incidents and child protection or child in need concerns relating to individual pupils. These notes are significant especially if the incident or the concern does not lead to a referral to other agencies. This information may be shared directly with other agencies as appro</w:t>
      </w:r>
      <w:r w:rsidR="00FA39CA" w:rsidRPr="00E43ADE">
        <w:rPr>
          <w:rFonts w:ascii="Verdana" w:eastAsia="Times New Roman" w:hAnsi="Verdana" w:cs="Times New Roman"/>
        </w:rPr>
        <w:t>priate. All contact with carers</w:t>
      </w:r>
      <w:r w:rsidRPr="0011117F">
        <w:rPr>
          <w:rFonts w:ascii="Verdana" w:eastAsia="Times New Roman" w:hAnsi="Verdana" w:cs="Times New Roman"/>
        </w:rPr>
        <w:t xml:space="preserve"> and external agencies will be logged and these will be kept as CP records. The school will take into account the views and wishes of the child who is the subject of the concern but staff will be alert to the dangers of colluding with dangerous “secrets”.</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 xml:space="preserve">Child protection records are not open to pupils or parents. All CP records are kept securely by the Designated Safeguarding Lead and separately </w:t>
      </w:r>
      <w:r w:rsidRPr="0011117F">
        <w:rPr>
          <w:rFonts w:ascii="Verdana" w:eastAsia="Times New Roman" w:hAnsi="Verdana" w:cs="Times New Roman"/>
        </w:rPr>
        <w:lastRenderedPageBreak/>
        <w:t>from educational records. They may only be accessed by the Designated</w:t>
      </w:r>
      <w:r w:rsidR="00FA39CA" w:rsidRPr="00E43ADE">
        <w:rPr>
          <w:rFonts w:ascii="Verdana" w:eastAsia="Times New Roman" w:hAnsi="Verdana" w:cs="Times New Roman"/>
        </w:rPr>
        <w:t xml:space="preserve"> Safeguarding Lead, the Director and the Head Teacher</w:t>
      </w:r>
      <w:r w:rsidRPr="0011117F">
        <w:rPr>
          <w:rFonts w:ascii="Verdana" w:eastAsia="Times New Roman" w:hAnsi="Verdana" w:cs="Times New Roman"/>
        </w:rPr>
        <w:t xml:space="preserve"> of the school.</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The content of Child Protection Conference or Review reports prepared by the school will follow the headings recommended by Children’s Services and will, wherever poss</w:t>
      </w:r>
      <w:r w:rsidR="00FA39CA" w:rsidRPr="00E43ADE">
        <w:rPr>
          <w:rFonts w:ascii="Verdana" w:eastAsia="Times New Roman" w:hAnsi="Verdana" w:cs="Times New Roman"/>
        </w:rPr>
        <w:t>ible, be shared with the social worker</w:t>
      </w:r>
      <w:r w:rsidRPr="0011117F">
        <w:rPr>
          <w:rFonts w:ascii="Verdana" w:eastAsia="Times New Roman" w:hAnsi="Verdana" w:cs="Times New Roman"/>
        </w:rPr>
        <w:t>/carer in advance of the meeting.</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Child Protection records will be sent to receiving schools separately and under a confidential cover when pupils leave the school and a receipt will be obtained.</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t>SAFETY IN THE SCHOOL</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No internal doors to classrooms will be locked whilst pupils are present in these areas.</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Entry to School premises will be controlled by</w:t>
      </w:r>
      <w:r w:rsidR="00FA39CA" w:rsidRPr="00E43ADE">
        <w:rPr>
          <w:rFonts w:ascii="Verdana" w:eastAsia="Times New Roman" w:hAnsi="Verdana" w:cs="Times New Roman"/>
        </w:rPr>
        <w:t xml:space="preserve"> a gate and front door</w:t>
      </w:r>
      <w:r w:rsidRPr="0011117F">
        <w:rPr>
          <w:rFonts w:ascii="Verdana" w:eastAsia="Times New Roman" w:hAnsi="Verdana" w:cs="Times New Roman"/>
        </w:rPr>
        <w:t xml:space="preserve"> that are secured ph</w:t>
      </w:r>
      <w:r w:rsidR="00FA39CA" w:rsidRPr="00E43ADE">
        <w:rPr>
          <w:rFonts w:ascii="Verdana" w:eastAsia="Times New Roman" w:hAnsi="Verdana" w:cs="Times New Roman"/>
        </w:rPr>
        <w:t>ysically</w:t>
      </w:r>
      <w:r w:rsidRPr="0011117F">
        <w:rPr>
          <w:rFonts w:ascii="Verdana" w:eastAsia="Times New Roman" w:hAnsi="Verdana" w:cs="Times New Roman"/>
        </w:rPr>
        <w:t xml:space="preserve"> Authorised visitors to the school will be logged into and out of the premises and will be asked to wear their identity badges or be issued with school visitor badges. Unidentified visitors will be challenged by staff or reported to the Head</w:t>
      </w:r>
      <w:r w:rsidR="00FA39CA" w:rsidRPr="00E43ADE">
        <w:rPr>
          <w:rFonts w:ascii="Verdana" w:eastAsia="Times New Roman" w:hAnsi="Verdana" w:cs="Times New Roman"/>
        </w:rPr>
        <w:t xml:space="preserve"> T</w:t>
      </w:r>
      <w:r w:rsidRPr="0011117F">
        <w:rPr>
          <w:rFonts w:ascii="Verdana" w:eastAsia="Times New Roman" w:hAnsi="Verdana" w:cs="Times New Roman"/>
        </w:rPr>
        <w:t>eacher or school office. Carelessness in closing any controlled entrance will be challenged.</w:t>
      </w:r>
    </w:p>
    <w:p w:rsidR="006A3D7B" w:rsidRDefault="006A3D7B"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rPr>
        <w:t>Staff</w:t>
      </w:r>
      <w:r w:rsidR="0011117F" w:rsidRPr="0011117F">
        <w:rPr>
          <w:rFonts w:ascii="Verdana" w:eastAsia="Times New Roman" w:hAnsi="Verdana" w:cs="Times New Roman"/>
        </w:rPr>
        <w:t xml:space="preserve"> may only take still or video photographic images of pupils in school or on school-organised activities with the prior consent of the school and then only in designated areas</w:t>
      </w:r>
      <w:proofErr w:type="gramStart"/>
      <w:r w:rsidR="0011117F" w:rsidRPr="0011117F">
        <w:rPr>
          <w:rFonts w:ascii="Verdana" w:eastAsia="Times New Roman" w:hAnsi="Verdana" w:cs="Times New Roman"/>
        </w:rPr>
        <w:t>..</w:t>
      </w:r>
      <w:proofErr w:type="gramEnd"/>
      <w:r w:rsidR="0011117F" w:rsidRPr="0011117F">
        <w:rPr>
          <w:rFonts w:ascii="Verdana" w:eastAsia="Times New Roman" w:hAnsi="Verdana" w:cs="Times New Roman"/>
        </w:rPr>
        <w:t xml:space="preserve"> </w:t>
      </w:r>
      <w:r w:rsidRPr="00E43ADE">
        <w:rPr>
          <w:rFonts w:ascii="Verdana" w:eastAsia="Times New Roman" w:hAnsi="Verdana" w:cs="Times New Roman"/>
        </w:rPr>
        <w:t xml:space="preserve">Social Workers are asked to consent to photographs being taken to record a pupil's life in the school but the images taken must be for school use only </w:t>
      </w:r>
      <w:r w:rsidR="0011117F" w:rsidRPr="0011117F">
        <w:rPr>
          <w:rFonts w:ascii="Verdana" w:eastAsia="Times New Roman" w:hAnsi="Verdana" w:cs="Times New Roman"/>
        </w:rPr>
        <w:t xml:space="preserve">Without this consent the Data Protection legislation would be breached. </w:t>
      </w:r>
    </w:p>
    <w:p w:rsidR="0011117F" w:rsidRPr="0011117F" w:rsidRDefault="0011117F"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b/>
          <w:bCs/>
          <w:u w:val="single"/>
        </w:rPr>
        <w:t>CURRICULUM</w:t>
      </w:r>
    </w:p>
    <w:p w:rsidR="0011117F" w:rsidRPr="0011117F" w:rsidRDefault="006A3D7B" w:rsidP="002719A6">
      <w:pPr>
        <w:spacing w:before="100" w:beforeAutospacing="1" w:after="100" w:afterAutospacing="1" w:line="240" w:lineRule="auto"/>
        <w:jc w:val="both"/>
        <w:rPr>
          <w:rFonts w:ascii="Verdana" w:eastAsia="Times New Roman" w:hAnsi="Verdana" w:cs="Times New Roman"/>
        </w:rPr>
      </w:pPr>
      <w:r w:rsidRPr="00E43ADE">
        <w:rPr>
          <w:rFonts w:ascii="Verdana" w:eastAsia="Times New Roman" w:hAnsi="Verdana" w:cs="Times New Roman"/>
        </w:rPr>
        <w:t>Greenfields</w:t>
      </w:r>
      <w:r w:rsidR="0011117F" w:rsidRPr="0011117F">
        <w:rPr>
          <w:rFonts w:ascii="Verdana" w:eastAsia="Times New Roman" w:hAnsi="Verdana" w:cs="Times New Roman"/>
        </w:rPr>
        <w:t xml:space="preserve"> acknowledges the important role that the curriculum can play in the prevention of abuse and in the preparation of our pupils for the responsibilities of adult life and citizenship. It is expected that </w:t>
      </w:r>
      <w:r w:rsidRPr="00E43ADE">
        <w:rPr>
          <w:rFonts w:ascii="Verdana" w:eastAsia="Times New Roman" w:hAnsi="Verdana" w:cs="Times New Roman"/>
        </w:rPr>
        <w:t xml:space="preserve">teachers </w:t>
      </w:r>
      <w:r w:rsidR="0011117F" w:rsidRPr="0011117F">
        <w:rPr>
          <w:rFonts w:ascii="Verdana" w:eastAsia="Times New Roman" w:hAnsi="Verdana" w:cs="Times New Roman"/>
        </w:rPr>
        <w:t>will consider the o</w:t>
      </w:r>
      <w:r w:rsidRPr="00E43ADE">
        <w:rPr>
          <w:rFonts w:ascii="Verdana" w:eastAsia="Times New Roman" w:hAnsi="Verdana" w:cs="Times New Roman"/>
        </w:rPr>
        <w:t>pportunities that exist in all</w:t>
      </w:r>
      <w:r w:rsidR="0011117F" w:rsidRPr="0011117F">
        <w:rPr>
          <w:rFonts w:ascii="Verdana" w:eastAsia="Times New Roman" w:hAnsi="Verdana" w:cs="Times New Roman"/>
        </w:rPr>
        <w:t xml:space="preserve"> area</w:t>
      </w:r>
      <w:r w:rsidRPr="00E43ADE">
        <w:rPr>
          <w:rFonts w:ascii="Verdana" w:eastAsia="Times New Roman" w:hAnsi="Verdana" w:cs="Times New Roman"/>
        </w:rPr>
        <w:t>s</w:t>
      </w:r>
      <w:r w:rsidR="0011117F" w:rsidRPr="0011117F">
        <w:rPr>
          <w:rFonts w:ascii="Verdana" w:eastAsia="Times New Roman" w:hAnsi="Verdana" w:cs="Times New Roman"/>
        </w:rPr>
        <w:t xml:space="preserve"> of </w:t>
      </w:r>
      <w:r w:rsidRPr="00E43ADE">
        <w:rPr>
          <w:rFonts w:ascii="Verdana" w:eastAsia="Times New Roman" w:hAnsi="Verdana" w:cs="Times New Roman"/>
        </w:rPr>
        <w:t>the curriculum</w:t>
      </w:r>
      <w:r w:rsidR="0011117F" w:rsidRPr="0011117F">
        <w:rPr>
          <w:rFonts w:ascii="Verdana" w:eastAsia="Times New Roman" w:hAnsi="Verdana" w:cs="Times New Roman"/>
        </w:rPr>
        <w:t xml:space="preserve"> for promoting the welfare and safety of pupils. As appropriate, the curriculum will be used to build resilience, help pupils to keep safe and to know how to ask for help if their safety is threatened. As part of developing a healthy, safer lifestyle, pupils will be taught, for example:</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to recognise and manage risks in different situations and then decide how to behave responsibly;</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to judge what kinds of physical contact are acceptable and unacceptable;</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to recognise when pressure from others (including people they know) threatens their personal safety and well-being; including knowing when and where to get help;</w:t>
      </w:r>
    </w:p>
    <w:p w:rsidR="006A3D7B" w:rsidRPr="00E43ADE" w:rsidRDefault="0011117F" w:rsidP="002719A6">
      <w:pPr>
        <w:numPr>
          <w:ilvl w:val="0"/>
          <w:numId w:val="7"/>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to use assertiveness techniques to resist unhelpful pressure;</w:t>
      </w:r>
    </w:p>
    <w:p w:rsidR="0011117F" w:rsidRPr="0011117F" w:rsidRDefault="0011117F" w:rsidP="002719A6">
      <w:pPr>
        <w:numPr>
          <w:ilvl w:val="0"/>
          <w:numId w:val="7"/>
        </w:numPr>
        <w:spacing w:before="100" w:beforeAutospacing="1" w:after="100" w:afterAutospacing="1" w:line="240" w:lineRule="auto"/>
        <w:jc w:val="both"/>
        <w:rPr>
          <w:rFonts w:ascii="Verdana" w:eastAsia="Times New Roman" w:hAnsi="Verdana" w:cs="Times New Roman"/>
        </w:rPr>
      </w:pPr>
      <w:proofErr w:type="gramStart"/>
      <w:r w:rsidRPr="0011117F">
        <w:rPr>
          <w:rFonts w:ascii="Verdana" w:eastAsia="Times New Roman" w:hAnsi="Verdana" w:cs="Times New Roman"/>
          <w:color w:val="000000"/>
        </w:rPr>
        <w:lastRenderedPageBreak/>
        <w:t>emotional</w:t>
      </w:r>
      <w:proofErr w:type="gramEnd"/>
      <w:r w:rsidRPr="0011117F">
        <w:rPr>
          <w:rFonts w:ascii="Verdana" w:eastAsia="Times New Roman" w:hAnsi="Verdana" w:cs="Times New Roman"/>
          <w:color w:val="000000"/>
        </w:rPr>
        <w:t xml:space="preserve"> literacy.</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All computer equipment and internet access within the School will be subject to appropriate “parental controls” and Internet safety rules in line with our E-safety Policy.</w:t>
      </w:r>
      <w:r w:rsidR="006A3D7B" w:rsidRPr="00E43ADE">
        <w:rPr>
          <w:rFonts w:ascii="Verdana" w:eastAsia="Times New Roman" w:hAnsi="Verdana" w:cs="Times New Roman"/>
        </w:rPr>
        <w:t xml:space="preserve"> Children will take part in E-Safety opportunities.</w:t>
      </w:r>
    </w:p>
    <w:p w:rsidR="0011117F" w:rsidRPr="0011117F" w:rsidRDefault="0011117F" w:rsidP="002719A6">
      <w:pPr>
        <w:spacing w:before="240" w:after="120" w:line="240" w:lineRule="auto"/>
        <w:jc w:val="both"/>
        <w:outlineLvl w:val="3"/>
        <w:rPr>
          <w:rFonts w:ascii="Verdana" w:eastAsia="Times New Roman" w:hAnsi="Verdana" w:cs="Times New Roman"/>
          <w:b/>
          <w:bCs/>
        </w:rPr>
      </w:pPr>
      <w:r w:rsidRPr="0011117F">
        <w:rPr>
          <w:rFonts w:ascii="Verdana" w:eastAsia="Times New Roman" w:hAnsi="Verdana" w:cs="Times New Roman"/>
          <w:b/>
          <w:bCs/>
          <w:u w:val="single"/>
        </w:rPr>
        <w:t>THE ROLE OF THE GOVERNING BODY</w:t>
      </w:r>
    </w:p>
    <w:p w:rsidR="0011117F" w:rsidRPr="0011117F" w:rsidRDefault="0011117F" w:rsidP="002719A6">
      <w:pPr>
        <w:spacing w:before="100" w:beforeAutospacing="1" w:after="120" w:line="240" w:lineRule="auto"/>
        <w:jc w:val="both"/>
        <w:outlineLvl w:val="3"/>
        <w:rPr>
          <w:rFonts w:ascii="Verdana" w:eastAsia="Times New Roman" w:hAnsi="Verdana" w:cs="Times New Roman"/>
          <w:b/>
          <w:bCs/>
        </w:rPr>
      </w:pPr>
      <w:r w:rsidRPr="0011117F">
        <w:rPr>
          <w:rFonts w:ascii="Verdana" w:eastAsia="Times New Roman" w:hAnsi="Verdana" w:cs="Times New Roman"/>
          <w:b/>
          <w:bCs/>
        </w:rPr>
        <w:t>The Governing Body will ensure that they comply with their duties under legislation and that the policies, procedures and training in the school are effective and comply with the law at all times.</w:t>
      </w:r>
    </w:p>
    <w:p w:rsidR="0011117F" w:rsidRPr="0011117F" w:rsidRDefault="0011117F" w:rsidP="002719A6">
      <w:pPr>
        <w:autoSpaceDE w:val="0"/>
        <w:autoSpaceDN w:val="0"/>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The Governing Body will ensure that the sc</w:t>
      </w:r>
      <w:r w:rsidR="006A3D7B" w:rsidRPr="00E43ADE">
        <w:rPr>
          <w:rFonts w:ascii="Verdana" w:eastAsia="Times New Roman" w:hAnsi="Verdana" w:cs="Times New Roman"/>
        </w:rPr>
        <w:t>hool contributes to</w:t>
      </w:r>
      <w:r w:rsidRPr="0011117F">
        <w:rPr>
          <w:rFonts w:ascii="Verdana" w:eastAsia="Times New Roman" w:hAnsi="Verdana" w:cs="Times New Roman"/>
        </w:rPr>
        <w:t xml:space="preserve"> working in line with statutory guidance “</w:t>
      </w:r>
      <w:hyperlink r:id="rId10" w:history="1">
        <w:r w:rsidRPr="00E43ADE">
          <w:rPr>
            <w:rFonts w:ascii="Verdana" w:eastAsia="Times New Roman" w:hAnsi="Verdana" w:cs="Times New Roman"/>
            <w:i/>
            <w:iCs/>
            <w:color w:val="0000FF"/>
            <w:u w:val="single"/>
          </w:rPr>
          <w:t>Working Together to Safeguard Children</w:t>
        </w:r>
      </w:hyperlink>
      <w:r w:rsidRPr="0011117F">
        <w:rPr>
          <w:rFonts w:ascii="Verdana" w:eastAsia="Times New Roman" w:hAnsi="Verdana" w:cs="Times New Roman"/>
        </w:rPr>
        <w:t xml:space="preserve">” and that the school’s safeguarding arrangements take into account the </w:t>
      </w:r>
      <w:r w:rsidR="006A3D7B" w:rsidRPr="00E43ADE">
        <w:rPr>
          <w:rFonts w:ascii="Verdana" w:eastAsia="Times New Roman" w:hAnsi="Verdana" w:cs="Times New Roman"/>
        </w:rPr>
        <w:t xml:space="preserve">necessary </w:t>
      </w:r>
      <w:r w:rsidRPr="0011117F">
        <w:rPr>
          <w:rFonts w:ascii="Verdana" w:eastAsia="Times New Roman" w:hAnsi="Verdana" w:cs="Times New Roman"/>
        </w:rPr>
        <w:t>procedures and practice</w:t>
      </w:r>
      <w:r w:rsidR="006A3D7B" w:rsidRPr="00E43ADE">
        <w:rPr>
          <w:rFonts w:ascii="Verdana" w:eastAsia="Times New Roman" w:hAnsi="Verdana" w:cs="Times New Roman"/>
        </w:rPr>
        <w:t>.</w:t>
      </w:r>
      <w:r w:rsidRPr="0011117F">
        <w:rPr>
          <w:rFonts w:ascii="Verdana" w:eastAsia="Times New Roman" w:hAnsi="Verdana" w:cs="Times New Roman"/>
        </w:rPr>
        <w:t xml:space="preserve"> </w:t>
      </w:r>
    </w:p>
    <w:p w:rsidR="0011117F" w:rsidRPr="0011117F" w:rsidRDefault="0011117F" w:rsidP="002719A6">
      <w:pPr>
        <w:spacing w:before="100" w:beforeAutospacing="1" w:after="120" w:line="240" w:lineRule="auto"/>
        <w:jc w:val="both"/>
        <w:outlineLvl w:val="3"/>
        <w:rPr>
          <w:rFonts w:ascii="Verdana" w:eastAsia="Times New Roman" w:hAnsi="Verdana" w:cs="Times New Roman"/>
          <w:b/>
          <w:bCs/>
        </w:rPr>
      </w:pPr>
      <w:r w:rsidRPr="0011117F">
        <w:rPr>
          <w:rFonts w:ascii="Verdana" w:eastAsia="Times New Roman" w:hAnsi="Verdana" w:cs="Times New Roman"/>
          <w:b/>
          <w:bCs/>
        </w:rPr>
        <w:t>The Governing Body has formally adopted this policy and will review its contents annually or sooner if any legislative or regulatory changes are notified to it b</w:t>
      </w:r>
      <w:r w:rsidR="00D96E3B">
        <w:rPr>
          <w:rFonts w:ascii="Verdana" w:eastAsia="Times New Roman" w:hAnsi="Verdana" w:cs="Times New Roman"/>
          <w:b/>
          <w:bCs/>
        </w:rPr>
        <w:t xml:space="preserve">y the </w:t>
      </w:r>
      <w:r w:rsidR="006A3D7B" w:rsidRPr="00E43ADE">
        <w:rPr>
          <w:rFonts w:ascii="Verdana" w:eastAsia="Times New Roman" w:hAnsi="Verdana" w:cs="Times New Roman"/>
          <w:b/>
          <w:bCs/>
        </w:rPr>
        <w:t>H</w:t>
      </w:r>
      <w:r w:rsidRPr="0011117F">
        <w:rPr>
          <w:rFonts w:ascii="Verdana" w:eastAsia="Times New Roman" w:hAnsi="Verdana" w:cs="Times New Roman"/>
          <w:b/>
          <w:bCs/>
        </w:rPr>
        <w:t>ead</w:t>
      </w:r>
      <w:r w:rsidR="006A3D7B" w:rsidRPr="00E43ADE">
        <w:rPr>
          <w:rFonts w:ascii="Verdana" w:eastAsia="Times New Roman" w:hAnsi="Verdana" w:cs="Times New Roman"/>
          <w:b/>
          <w:bCs/>
        </w:rPr>
        <w:t xml:space="preserve"> T</w:t>
      </w:r>
      <w:r w:rsidRPr="0011117F">
        <w:rPr>
          <w:rFonts w:ascii="Verdana" w:eastAsia="Times New Roman" w:hAnsi="Verdana" w:cs="Times New Roman"/>
          <w:b/>
          <w:bCs/>
        </w:rPr>
        <w:t>eacher.</w:t>
      </w:r>
    </w:p>
    <w:p w:rsidR="0011117F" w:rsidRPr="0011117F" w:rsidRDefault="00A556F4" w:rsidP="002719A6">
      <w:pPr>
        <w:spacing w:before="100" w:beforeAutospacing="1" w:after="120" w:line="240" w:lineRule="auto"/>
        <w:jc w:val="both"/>
        <w:rPr>
          <w:rFonts w:ascii="Verdana" w:eastAsia="Times New Roman" w:hAnsi="Verdana" w:cs="Times New Roman"/>
        </w:rPr>
      </w:pPr>
      <w:r>
        <w:rPr>
          <w:rFonts w:ascii="Verdana" w:eastAsia="Times New Roman" w:hAnsi="Verdana" w:cs="Times New Roman"/>
        </w:rPr>
        <w:t xml:space="preserve">As </w:t>
      </w:r>
      <w:r w:rsidR="006A3D7B" w:rsidRPr="00E43ADE">
        <w:rPr>
          <w:rFonts w:ascii="Verdana" w:eastAsia="Times New Roman" w:hAnsi="Verdana" w:cs="Times New Roman"/>
        </w:rPr>
        <w:t>good practice, the H</w:t>
      </w:r>
      <w:r w:rsidR="0011117F" w:rsidRPr="0011117F">
        <w:rPr>
          <w:rFonts w:ascii="Verdana" w:eastAsia="Times New Roman" w:hAnsi="Verdana" w:cs="Times New Roman"/>
        </w:rPr>
        <w:t>ead</w:t>
      </w:r>
      <w:r w:rsidR="006A3D7B" w:rsidRPr="00E43ADE">
        <w:rPr>
          <w:rFonts w:ascii="Verdana" w:eastAsia="Times New Roman" w:hAnsi="Verdana" w:cs="Times New Roman"/>
        </w:rPr>
        <w:t xml:space="preserve"> T</w:t>
      </w:r>
      <w:r w:rsidR="0011117F" w:rsidRPr="0011117F">
        <w:rPr>
          <w:rFonts w:ascii="Verdana" w:eastAsia="Times New Roman" w:hAnsi="Verdana" w:cs="Times New Roman"/>
        </w:rPr>
        <w:t>e</w:t>
      </w:r>
      <w:r w:rsidR="006A3D7B" w:rsidRPr="00E43ADE">
        <w:rPr>
          <w:rFonts w:ascii="Verdana" w:eastAsia="Times New Roman" w:hAnsi="Verdana" w:cs="Times New Roman"/>
        </w:rPr>
        <w:t>acher will provide a termly</w:t>
      </w:r>
      <w:r w:rsidR="0011117F" w:rsidRPr="0011117F">
        <w:rPr>
          <w:rFonts w:ascii="Verdana" w:eastAsia="Times New Roman" w:hAnsi="Verdana" w:cs="Times New Roman"/>
        </w:rPr>
        <w:t xml:space="preserve"> report to the Governing Body outlining details of any safeguarding issues that have arisen during the term/year and the outcome of any cases identified. These reports will respect all issues of confidentiality and will not therefore identify any person(s) by name.</w:t>
      </w:r>
    </w:p>
    <w:p w:rsidR="0011117F" w:rsidRPr="0011117F" w:rsidRDefault="0011117F" w:rsidP="002719A6">
      <w:pPr>
        <w:spacing w:before="240" w:after="120" w:line="240" w:lineRule="auto"/>
        <w:jc w:val="both"/>
        <w:outlineLvl w:val="3"/>
        <w:rPr>
          <w:rFonts w:ascii="Verdana" w:eastAsia="Times New Roman" w:hAnsi="Verdana" w:cs="Times New Roman"/>
          <w:b/>
          <w:bCs/>
        </w:rPr>
      </w:pPr>
      <w:r w:rsidRPr="0011117F">
        <w:rPr>
          <w:rFonts w:ascii="Verdana" w:eastAsia="Times New Roman" w:hAnsi="Verdana" w:cs="Times New Roman"/>
          <w:b/>
          <w:bCs/>
          <w:u w:val="single"/>
        </w:rPr>
        <w:t>MONITORING</w:t>
      </w:r>
    </w:p>
    <w:p w:rsidR="0011117F" w:rsidRPr="0011117F" w:rsidRDefault="0011117F" w:rsidP="002719A6">
      <w:pPr>
        <w:numPr>
          <w:ilvl w:val="0"/>
          <w:numId w:val="12"/>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The Policy will be reviewed annually</w:t>
      </w:r>
      <w:r w:rsidR="006A3D7B" w:rsidRPr="00E43ADE">
        <w:rPr>
          <w:rFonts w:ascii="Verdana" w:eastAsia="Times New Roman" w:hAnsi="Verdana" w:cs="Times New Roman"/>
        </w:rPr>
        <w:t xml:space="preserve"> by the Head Teacher and ratified by the Governing Body</w:t>
      </w:r>
    </w:p>
    <w:p w:rsidR="0011117F" w:rsidRPr="0011117F" w:rsidRDefault="0011117F" w:rsidP="002719A6">
      <w:pPr>
        <w:numPr>
          <w:ilvl w:val="0"/>
          <w:numId w:val="12"/>
        </w:numPr>
        <w:spacing w:before="100" w:beforeAutospacing="1" w:after="100" w:afterAutospacing="1" w:line="240" w:lineRule="auto"/>
        <w:jc w:val="both"/>
        <w:rPr>
          <w:rFonts w:ascii="Verdana" w:eastAsia="Times New Roman" w:hAnsi="Verdana" w:cs="Times New Roman"/>
        </w:rPr>
      </w:pPr>
      <w:r w:rsidRPr="0011117F">
        <w:rPr>
          <w:rFonts w:ascii="Verdana" w:eastAsia="Times New Roman" w:hAnsi="Verdana" w:cs="Times New Roman"/>
        </w:rPr>
        <w:t>Regular assemblies, and PHSE sessions ascertain the pupils understanding of safeguarding and provide opportunities for the pupils to raise concerns.</w:t>
      </w:r>
      <w:r w:rsidR="00E43ADE" w:rsidRPr="00E43ADE">
        <w:rPr>
          <w:rFonts w:ascii="Verdana" w:eastAsia="Times New Roman" w:hAnsi="Verdana" w:cs="Times New Roman"/>
        </w:rPr>
        <w:t xml:space="preserve"> A </w:t>
      </w:r>
      <w:r w:rsidR="00D96E3B">
        <w:rPr>
          <w:rFonts w:ascii="Verdana" w:eastAsia="Times New Roman" w:hAnsi="Verdana" w:cs="Times New Roman"/>
        </w:rPr>
        <w:t>Worries</w:t>
      </w:r>
      <w:r w:rsidR="00E43ADE" w:rsidRPr="00D96E3B">
        <w:rPr>
          <w:rFonts w:ascii="Verdana" w:eastAsia="Times New Roman" w:hAnsi="Verdana" w:cs="Times New Roman"/>
        </w:rPr>
        <w:t xml:space="preserve"> box</w:t>
      </w:r>
      <w:r w:rsidR="00E43ADE" w:rsidRPr="00E43ADE">
        <w:rPr>
          <w:rFonts w:ascii="Verdana" w:eastAsia="Times New Roman" w:hAnsi="Verdana" w:cs="Times New Roman"/>
          <w:color w:val="FF0000"/>
        </w:rPr>
        <w:t xml:space="preserve"> </w:t>
      </w:r>
      <w:r w:rsidR="00E43ADE" w:rsidRPr="00E43ADE">
        <w:rPr>
          <w:rFonts w:ascii="Verdana" w:eastAsia="Times New Roman" w:hAnsi="Verdana" w:cs="Times New Roman"/>
        </w:rPr>
        <w:t xml:space="preserve">has been introduced </w:t>
      </w:r>
      <w:r w:rsidR="00BE1B55">
        <w:rPr>
          <w:rFonts w:ascii="Verdana" w:eastAsia="Times New Roman" w:hAnsi="Verdana" w:cs="Times New Roman"/>
        </w:rPr>
        <w:t>for KS2 pupils</w:t>
      </w:r>
      <w:r w:rsidR="00D96E3B">
        <w:rPr>
          <w:rFonts w:ascii="Verdana" w:eastAsia="Times New Roman" w:hAnsi="Verdana" w:cs="Times New Roman"/>
        </w:rPr>
        <w:t xml:space="preserve"> </w:t>
      </w:r>
      <w:r w:rsidR="00E43ADE" w:rsidRPr="00E43ADE">
        <w:rPr>
          <w:rFonts w:ascii="Verdana" w:eastAsia="Times New Roman" w:hAnsi="Verdana" w:cs="Times New Roman"/>
        </w:rPr>
        <w:t>as another way for children to raise their concerns</w:t>
      </w:r>
      <w:r w:rsidR="00D96E3B">
        <w:rPr>
          <w:rFonts w:ascii="Verdana" w:eastAsia="Times New Roman" w:hAnsi="Verdana" w:cs="Times New Roman"/>
        </w:rPr>
        <w:t xml:space="preserve">. In KS3 there is a complaints book in line with residential provision. </w:t>
      </w:r>
    </w:p>
    <w:p w:rsidR="0011117F" w:rsidRPr="0011117F" w:rsidRDefault="0011117F" w:rsidP="002719A6">
      <w:pPr>
        <w:spacing w:before="240" w:after="120" w:line="240" w:lineRule="auto"/>
        <w:jc w:val="both"/>
        <w:outlineLvl w:val="3"/>
        <w:rPr>
          <w:rFonts w:ascii="Verdana" w:eastAsia="Times New Roman" w:hAnsi="Verdana" w:cs="Times New Roman"/>
          <w:b/>
          <w:bCs/>
        </w:rPr>
      </w:pPr>
      <w:r w:rsidRPr="0011117F">
        <w:rPr>
          <w:rFonts w:ascii="Verdana" w:eastAsia="Times New Roman" w:hAnsi="Verdana" w:cs="Times New Roman"/>
          <w:b/>
          <w:bCs/>
          <w:u w:val="single"/>
        </w:rPr>
        <w:t xml:space="preserve">COMPLAINTS </w:t>
      </w:r>
    </w:p>
    <w:p w:rsidR="0011117F" w:rsidRPr="0011117F" w:rsidRDefault="0011117F" w:rsidP="002719A6">
      <w:pPr>
        <w:spacing w:before="100" w:beforeAutospacing="1" w:after="120" w:line="240" w:lineRule="auto"/>
        <w:jc w:val="both"/>
        <w:rPr>
          <w:rFonts w:ascii="Verdana" w:eastAsia="Times New Roman" w:hAnsi="Verdana" w:cs="Times New Roman"/>
        </w:rPr>
      </w:pPr>
      <w:r w:rsidRPr="0011117F">
        <w:rPr>
          <w:rFonts w:ascii="Verdana" w:eastAsia="Times New Roman" w:hAnsi="Verdana" w:cs="Times New Roman"/>
        </w:rPr>
        <w:t>All complaints arising from the operation of this policy will be consider</w:t>
      </w:r>
      <w:r w:rsidR="00E43ADE" w:rsidRPr="00E43ADE">
        <w:rPr>
          <w:rFonts w:ascii="Verdana" w:eastAsia="Times New Roman" w:hAnsi="Verdana" w:cs="Times New Roman"/>
        </w:rPr>
        <w:t xml:space="preserve">ed under the school’s complaints </w:t>
      </w:r>
      <w:r w:rsidRPr="0011117F">
        <w:rPr>
          <w:rFonts w:ascii="Verdana" w:eastAsia="Times New Roman" w:hAnsi="Verdana" w:cs="Times New Roman"/>
        </w:rPr>
        <w:t>procedure</w:t>
      </w:r>
      <w:r w:rsidR="00E43ADE" w:rsidRPr="00E43ADE">
        <w:rPr>
          <w:rFonts w:ascii="Verdana" w:eastAsia="Times New Roman" w:hAnsi="Verdana" w:cs="Times New Roman"/>
        </w:rPr>
        <w:t>.</w:t>
      </w:r>
    </w:p>
    <w:p w:rsidR="00B81102" w:rsidRDefault="00B81102" w:rsidP="002719A6">
      <w:pPr>
        <w:jc w:val="both"/>
      </w:pPr>
    </w:p>
    <w:sectPr w:rsidR="00B81102" w:rsidSect="00CA72FE">
      <w:footerReference w:type="first" r:id="rId11"/>
      <w:pgSz w:w="11906" w:h="16838"/>
      <w:pgMar w:top="1440" w:right="1843" w:bottom="1440" w:left="1985"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65" w:rsidRDefault="00A82765" w:rsidP="003822D7">
      <w:pPr>
        <w:spacing w:after="0" w:line="240" w:lineRule="auto"/>
      </w:pPr>
      <w:r>
        <w:separator/>
      </w:r>
    </w:p>
  </w:endnote>
  <w:endnote w:type="continuationSeparator" w:id="0">
    <w:p w:rsidR="00A82765" w:rsidRDefault="00A82765" w:rsidP="0038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FE" w:rsidRDefault="00AC0FF5">
    <w:pPr>
      <w:pStyle w:val="Footer"/>
    </w:pPr>
    <w:r>
      <w:t>Reviewed January 2019</w:t>
    </w:r>
  </w:p>
  <w:p w:rsidR="003822D7" w:rsidRDefault="00382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65" w:rsidRDefault="00A82765" w:rsidP="003822D7">
      <w:pPr>
        <w:spacing w:after="0" w:line="240" w:lineRule="auto"/>
      </w:pPr>
      <w:r>
        <w:separator/>
      </w:r>
    </w:p>
  </w:footnote>
  <w:footnote w:type="continuationSeparator" w:id="0">
    <w:p w:rsidR="00A82765" w:rsidRDefault="00A82765" w:rsidP="00382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DE"/>
    <w:multiLevelType w:val="multilevel"/>
    <w:tmpl w:val="790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4CD"/>
    <w:multiLevelType w:val="multilevel"/>
    <w:tmpl w:val="36E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0814B4E"/>
    <w:multiLevelType w:val="multilevel"/>
    <w:tmpl w:val="6E5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316DB"/>
    <w:multiLevelType w:val="multilevel"/>
    <w:tmpl w:val="2EC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66363"/>
    <w:multiLevelType w:val="multilevel"/>
    <w:tmpl w:val="1C4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F4D21"/>
    <w:multiLevelType w:val="multilevel"/>
    <w:tmpl w:val="26F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66D69"/>
    <w:multiLevelType w:val="multilevel"/>
    <w:tmpl w:val="582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20F3782"/>
    <w:multiLevelType w:val="multilevel"/>
    <w:tmpl w:val="4A9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F1A9E"/>
    <w:multiLevelType w:val="multilevel"/>
    <w:tmpl w:val="A64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82A38E3"/>
    <w:multiLevelType w:val="multilevel"/>
    <w:tmpl w:val="15B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45975"/>
    <w:multiLevelType w:val="multilevel"/>
    <w:tmpl w:val="6E8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F2181"/>
    <w:multiLevelType w:val="multilevel"/>
    <w:tmpl w:val="32D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D88173D"/>
    <w:multiLevelType w:val="hybridMultilevel"/>
    <w:tmpl w:val="7F14B644"/>
    <w:lvl w:ilvl="0" w:tplc="1A324B36">
      <w:start w:val="1"/>
      <w:numFmt w:val="bullet"/>
      <w:lvlText w:val=""/>
      <w:lvlJc w:val="left"/>
      <w:pPr>
        <w:tabs>
          <w:tab w:val="num" w:pos="1117"/>
        </w:tabs>
        <w:ind w:left="1117" w:hanging="397"/>
      </w:pPr>
      <w:rPr>
        <w:rFonts w:ascii="Symbol" w:hAnsi="Symbol" w:hint="default"/>
      </w:rPr>
    </w:lvl>
    <w:lvl w:ilvl="1" w:tplc="08090003">
      <w:start w:val="1"/>
      <w:numFmt w:val="bullet"/>
      <w:lvlText w:val="o"/>
      <w:lvlJc w:val="left"/>
      <w:pPr>
        <w:tabs>
          <w:tab w:val="num" w:pos="1820"/>
        </w:tabs>
        <w:ind w:left="1820" w:hanging="360"/>
      </w:pPr>
      <w:rPr>
        <w:rFonts w:ascii="Courier New" w:hAnsi="Courier New" w:cs="Courier New" w:hint="default"/>
      </w:rPr>
    </w:lvl>
    <w:lvl w:ilvl="2" w:tplc="08090005">
      <w:start w:val="1"/>
      <w:numFmt w:val="bullet"/>
      <w:lvlText w:val=""/>
      <w:lvlJc w:val="left"/>
      <w:pPr>
        <w:tabs>
          <w:tab w:val="num" w:pos="2540"/>
        </w:tabs>
        <w:ind w:left="2540" w:hanging="360"/>
      </w:pPr>
      <w:rPr>
        <w:rFonts w:ascii="Wingdings" w:hAnsi="Wingdings" w:hint="default"/>
      </w:rPr>
    </w:lvl>
    <w:lvl w:ilvl="3" w:tplc="08090001">
      <w:start w:val="1"/>
      <w:numFmt w:val="bullet"/>
      <w:lvlText w:val=""/>
      <w:lvlJc w:val="left"/>
      <w:pPr>
        <w:tabs>
          <w:tab w:val="num" w:pos="3260"/>
        </w:tabs>
        <w:ind w:left="3260" w:hanging="360"/>
      </w:pPr>
      <w:rPr>
        <w:rFonts w:ascii="Symbol" w:hAnsi="Symbol" w:hint="default"/>
      </w:rPr>
    </w:lvl>
    <w:lvl w:ilvl="4" w:tplc="08090003">
      <w:start w:val="1"/>
      <w:numFmt w:val="bullet"/>
      <w:lvlText w:val="o"/>
      <w:lvlJc w:val="left"/>
      <w:pPr>
        <w:tabs>
          <w:tab w:val="num" w:pos="3980"/>
        </w:tabs>
        <w:ind w:left="3980" w:hanging="360"/>
      </w:pPr>
      <w:rPr>
        <w:rFonts w:ascii="Courier New" w:hAnsi="Courier New" w:cs="Courier New" w:hint="default"/>
      </w:rPr>
    </w:lvl>
    <w:lvl w:ilvl="5" w:tplc="08090005">
      <w:start w:val="1"/>
      <w:numFmt w:val="bullet"/>
      <w:lvlText w:val=""/>
      <w:lvlJc w:val="left"/>
      <w:pPr>
        <w:tabs>
          <w:tab w:val="num" w:pos="4700"/>
        </w:tabs>
        <w:ind w:left="4700" w:hanging="360"/>
      </w:pPr>
      <w:rPr>
        <w:rFonts w:ascii="Wingdings" w:hAnsi="Wingdings" w:hint="default"/>
      </w:rPr>
    </w:lvl>
    <w:lvl w:ilvl="6" w:tplc="08090001">
      <w:start w:val="1"/>
      <w:numFmt w:val="bullet"/>
      <w:lvlText w:val=""/>
      <w:lvlJc w:val="left"/>
      <w:pPr>
        <w:tabs>
          <w:tab w:val="num" w:pos="5420"/>
        </w:tabs>
        <w:ind w:left="5420" w:hanging="360"/>
      </w:pPr>
      <w:rPr>
        <w:rFonts w:ascii="Symbol" w:hAnsi="Symbol" w:hint="default"/>
      </w:rPr>
    </w:lvl>
    <w:lvl w:ilvl="7" w:tplc="08090003">
      <w:start w:val="1"/>
      <w:numFmt w:val="bullet"/>
      <w:lvlText w:val="o"/>
      <w:lvlJc w:val="left"/>
      <w:pPr>
        <w:tabs>
          <w:tab w:val="num" w:pos="6140"/>
        </w:tabs>
        <w:ind w:left="6140" w:hanging="360"/>
      </w:pPr>
      <w:rPr>
        <w:rFonts w:ascii="Courier New" w:hAnsi="Courier New" w:cs="Courier New" w:hint="default"/>
      </w:rPr>
    </w:lvl>
    <w:lvl w:ilvl="8" w:tplc="08090005">
      <w:start w:val="1"/>
      <w:numFmt w:val="bullet"/>
      <w:lvlText w:val=""/>
      <w:lvlJc w:val="left"/>
      <w:pPr>
        <w:tabs>
          <w:tab w:val="num" w:pos="6860"/>
        </w:tabs>
        <w:ind w:left="6860"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4"/>
  </w:num>
  <w:num w:numId="6">
    <w:abstractNumId w:val="5"/>
  </w:num>
  <w:num w:numId="7">
    <w:abstractNumId w:val="10"/>
  </w:num>
  <w:num w:numId="8">
    <w:abstractNumId w:val="0"/>
  </w:num>
  <w:num w:numId="9">
    <w:abstractNumId w:val="1"/>
  </w:num>
  <w:num w:numId="10">
    <w:abstractNumId w:val="14"/>
  </w:num>
  <w:num w:numId="11">
    <w:abstractNumId w:val="9"/>
  </w:num>
  <w:num w:numId="12">
    <w:abstractNumId w:val="3"/>
  </w:num>
  <w:num w:numId="13">
    <w:abstractNumId w:val="2"/>
  </w:num>
  <w:num w:numId="14">
    <w:abstractNumId w:val="11"/>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7F"/>
    <w:rsid w:val="0005489F"/>
    <w:rsid w:val="00096EA6"/>
    <w:rsid w:val="0011117F"/>
    <w:rsid w:val="00167CF5"/>
    <w:rsid w:val="00191D04"/>
    <w:rsid w:val="001F3DB2"/>
    <w:rsid w:val="00235A74"/>
    <w:rsid w:val="002719A6"/>
    <w:rsid w:val="003822D7"/>
    <w:rsid w:val="003D5F4F"/>
    <w:rsid w:val="003F295A"/>
    <w:rsid w:val="00404F11"/>
    <w:rsid w:val="004D4E35"/>
    <w:rsid w:val="00515824"/>
    <w:rsid w:val="00560F1C"/>
    <w:rsid w:val="005B1642"/>
    <w:rsid w:val="005D0F6C"/>
    <w:rsid w:val="005D55B9"/>
    <w:rsid w:val="006A3D7B"/>
    <w:rsid w:val="006F628D"/>
    <w:rsid w:val="00800E6F"/>
    <w:rsid w:val="008D12E0"/>
    <w:rsid w:val="008D4CAF"/>
    <w:rsid w:val="0092304C"/>
    <w:rsid w:val="00935098"/>
    <w:rsid w:val="00A556F4"/>
    <w:rsid w:val="00A82765"/>
    <w:rsid w:val="00AC0FF5"/>
    <w:rsid w:val="00B101FB"/>
    <w:rsid w:val="00B81102"/>
    <w:rsid w:val="00B85F0D"/>
    <w:rsid w:val="00B97B29"/>
    <w:rsid w:val="00BE1B55"/>
    <w:rsid w:val="00CA72FE"/>
    <w:rsid w:val="00CB38EE"/>
    <w:rsid w:val="00CB60D5"/>
    <w:rsid w:val="00CD2426"/>
    <w:rsid w:val="00D24B29"/>
    <w:rsid w:val="00D91F9F"/>
    <w:rsid w:val="00D96E3B"/>
    <w:rsid w:val="00DA6BD0"/>
    <w:rsid w:val="00E15ADA"/>
    <w:rsid w:val="00E43ADE"/>
    <w:rsid w:val="00EB573B"/>
    <w:rsid w:val="00F213C0"/>
    <w:rsid w:val="00F2431B"/>
    <w:rsid w:val="00F867BA"/>
    <w:rsid w:val="00FA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1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11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11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11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111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11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17F"/>
    <w:rPr>
      <w:b/>
      <w:bCs/>
    </w:rPr>
  </w:style>
  <w:style w:type="character" w:styleId="Emphasis">
    <w:name w:val="Emphasis"/>
    <w:basedOn w:val="DefaultParagraphFont"/>
    <w:uiPriority w:val="20"/>
    <w:qFormat/>
    <w:rsid w:val="0011117F"/>
    <w:rPr>
      <w:i/>
      <w:iCs/>
    </w:rPr>
  </w:style>
  <w:style w:type="character" w:styleId="Hyperlink">
    <w:name w:val="Hyperlink"/>
    <w:basedOn w:val="DefaultParagraphFont"/>
    <w:uiPriority w:val="99"/>
    <w:semiHidden/>
    <w:unhideWhenUsed/>
    <w:rsid w:val="0011117F"/>
    <w:rPr>
      <w:color w:val="0000FF"/>
      <w:u w:val="single"/>
    </w:rPr>
  </w:style>
  <w:style w:type="paragraph" w:styleId="BalloonText">
    <w:name w:val="Balloon Text"/>
    <w:basedOn w:val="Normal"/>
    <w:link w:val="BalloonTextChar"/>
    <w:uiPriority w:val="99"/>
    <w:semiHidden/>
    <w:unhideWhenUsed/>
    <w:rsid w:val="0027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A6"/>
    <w:rPr>
      <w:rFonts w:ascii="Tahoma" w:hAnsi="Tahoma" w:cs="Tahoma"/>
      <w:sz w:val="16"/>
      <w:szCs w:val="16"/>
    </w:rPr>
  </w:style>
  <w:style w:type="paragraph" w:customStyle="1" w:styleId="Bulletsspaced">
    <w:name w:val="Bullets (spaced)"/>
    <w:basedOn w:val="Normal"/>
    <w:uiPriority w:val="99"/>
    <w:rsid w:val="00F213C0"/>
    <w:pPr>
      <w:numPr>
        <w:numId w:val="13"/>
      </w:numPr>
      <w:spacing w:before="120" w:after="0" w:line="240" w:lineRule="auto"/>
    </w:pPr>
    <w:rPr>
      <w:rFonts w:ascii="Tahoma" w:eastAsia="Times New Roman" w:hAnsi="Tahoma" w:cs="Times New Roman"/>
      <w:color w:val="000000"/>
      <w:sz w:val="24"/>
      <w:szCs w:val="24"/>
    </w:rPr>
  </w:style>
  <w:style w:type="character" w:customStyle="1" w:styleId="LGfL2Char">
    <w:name w:val="LGfL2 Char"/>
    <w:basedOn w:val="DefaultParagraphFont"/>
    <w:link w:val="LGfL2"/>
    <w:locked/>
    <w:rsid w:val="00F213C0"/>
    <w:rPr>
      <w:b/>
      <w:sz w:val="24"/>
      <w:szCs w:val="24"/>
    </w:rPr>
  </w:style>
  <w:style w:type="paragraph" w:customStyle="1" w:styleId="LGfL2">
    <w:name w:val="LGfL2"/>
    <w:basedOn w:val="Normal"/>
    <w:link w:val="LGfL2Char"/>
    <w:qFormat/>
    <w:rsid w:val="00F213C0"/>
    <w:pPr>
      <w:spacing w:after="120" w:line="240" w:lineRule="auto"/>
    </w:pPr>
    <w:rPr>
      <w:b/>
      <w:sz w:val="24"/>
      <w:szCs w:val="24"/>
    </w:rPr>
  </w:style>
  <w:style w:type="paragraph" w:customStyle="1" w:styleId="Default">
    <w:name w:val="Default"/>
    <w:rsid w:val="00B811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D7"/>
  </w:style>
  <w:style w:type="paragraph" w:styleId="Footer">
    <w:name w:val="footer"/>
    <w:basedOn w:val="Normal"/>
    <w:link w:val="FooterChar"/>
    <w:uiPriority w:val="99"/>
    <w:unhideWhenUsed/>
    <w:rsid w:val="0038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1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11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11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11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111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11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17F"/>
    <w:rPr>
      <w:b/>
      <w:bCs/>
    </w:rPr>
  </w:style>
  <w:style w:type="character" w:styleId="Emphasis">
    <w:name w:val="Emphasis"/>
    <w:basedOn w:val="DefaultParagraphFont"/>
    <w:uiPriority w:val="20"/>
    <w:qFormat/>
    <w:rsid w:val="0011117F"/>
    <w:rPr>
      <w:i/>
      <w:iCs/>
    </w:rPr>
  </w:style>
  <w:style w:type="character" w:styleId="Hyperlink">
    <w:name w:val="Hyperlink"/>
    <w:basedOn w:val="DefaultParagraphFont"/>
    <w:uiPriority w:val="99"/>
    <w:semiHidden/>
    <w:unhideWhenUsed/>
    <w:rsid w:val="0011117F"/>
    <w:rPr>
      <w:color w:val="0000FF"/>
      <w:u w:val="single"/>
    </w:rPr>
  </w:style>
  <w:style w:type="paragraph" w:styleId="BalloonText">
    <w:name w:val="Balloon Text"/>
    <w:basedOn w:val="Normal"/>
    <w:link w:val="BalloonTextChar"/>
    <w:uiPriority w:val="99"/>
    <w:semiHidden/>
    <w:unhideWhenUsed/>
    <w:rsid w:val="0027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A6"/>
    <w:rPr>
      <w:rFonts w:ascii="Tahoma" w:hAnsi="Tahoma" w:cs="Tahoma"/>
      <w:sz w:val="16"/>
      <w:szCs w:val="16"/>
    </w:rPr>
  </w:style>
  <w:style w:type="paragraph" w:customStyle="1" w:styleId="Bulletsspaced">
    <w:name w:val="Bullets (spaced)"/>
    <w:basedOn w:val="Normal"/>
    <w:uiPriority w:val="99"/>
    <w:rsid w:val="00F213C0"/>
    <w:pPr>
      <w:numPr>
        <w:numId w:val="13"/>
      </w:numPr>
      <w:spacing w:before="120" w:after="0" w:line="240" w:lineRule="auto"/>
    </w:pPr>
    <w:rPr>
      <w:rFonts w:ascii="Tahoma" w:eastAsia="Times New Roman" w:hAnsi="Tahoma" w:cs="Times New Roman"/>
      <w:color w:val="000000"/>
      <w:sz w:val="24"/>
      <w:szCs w:val="24"/>
    </w:rPr>
  </w:style>
  <w:style w:type="character" w:customStyle="1" w:styleId="LGfL2Char">
    <w:name w:val="LGfL2 Char"/>
    <w:basedOn w:val="DefaultParagraphFont"/>
    <w:link w:val="LGfL2"/>
    <w:locked/>
    <w:rsid w:val="00F213C0"/>
    <w:rPr>
      <w:b/>
      <w:sz w:val="24"/>
      <w:szCs w:val="24"/>
    </w:rPr>
  </w:style>
  <w:style w:type="paragraph" w:customStyle="1" w:styleId="LGfL2">
    <w:name w:val="LGfL2"/>
    <w:basedOn w:val="Normal"/>
    <w:link w:val="LGfL2Char"/>
    <w:qFormat/>
    <w:rsid w:val="00F213C0"/>
    <w:pPr>
      <w:spacing w:after="120" w:line="240" w:lineRule="auto"/>
    </w:pPr>
    <w:rPr>
      <w:b/>
      <w:sz w:val="24"/>
      <w:szCs w:val="24"/>
    </w:rPr>
  </w:style>
  <w:style w:type="paragraph" w:customStyle="1" w:styleId="Default">
    <w:name w:val="Default"/>
    <w:rsid w:val="00B811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D7"/>
  </w:style>
  <w:style w:type="paragraph" w:styleId="Footer">
    <w:name w:val="footer"/>
    <w:basedOn w:val="Normal"/>
    <w:link w:val="FooterChar"/>
    <w:uiPriority w:val="99"/>
    <w:unhideWhenUsed/>
    <w:rsid w:val="0038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8882">
      <w:bodyDiv w:val="1"/>
      <w:marLeft w:val="0"/>
      <w:marRight w:val="0"/>
      <w:marTop w:val="0"/>
      <w:marBottom w:val="0"/>
      <w:divBdr>
        <w:top w:val="none" w:sz="0" w:space="0" w:color="auto"/>
        <w:left w:val="none" w:sz="0" w:space="0" w:color="auto"/>
        <w:bottom w:val="none" w:sz="0" w:space="0" w:color="auto"/>
        <w:right w:val="none" w:sz="0" w:space="0" w:color="auto"/>
      </w:divBdr>
      <w:divsChild>
        <w:div w:id="1178806852">
          <w:marLeft w:val="0"/>
          <w:marRight w:val="0"/>
          <w:marTop w:val="0"/>
          <w:marBottom w:val="0"/>
          <w:divBdr>
            <w:top w:val="none" w:sz="0" w:space="0" w:color="auto"/>
            <w:left w:val="none" w:sz="0" w:space="0" w:color="auto"/>
            <w:bottom w:val="none" w:sz="0" w:space="0" w:color="auto"/>
            <w:right w:val="none" w:sz="0" w:space="0" w:color="auto"/>
          </w:divBdr>
          <w:divsChild>
            <w:div w:id="2137093006">
              <w:marLeft w:val="0"/>
              <w:marRight w:val="0"/>
              <w:marTop w:val="0"/>
              <w:marBottom w:val="0"/>
              <w:divBdr>
                <w:top w:val="none" w:sz="0" w:space="0" w:color="auto"/>
                <w:left w:val="none" w:sz="0" w:space="0" w:color="auto"/>
                <w:bottom w:val="none" w:sz="0" w:space="0" w:color="auto"/>
                <w:right w:val="none" w:sz="0" w:space="0" w:color="auto"/>
              </w:divBdr>
              <w:divsChild>
                <w:div w:id="69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image" Target="cid:image001.jpg@01D14A21.FC016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Smalik</cp:lastModifiedBy>
  <cp:revision>5</cp:revision>
  <cp:lastPrinted>2016-05-27T13:51:00Z</cp:lastPrinted>
  <dcterms:created xsi:type="dcterms:W3CDTF">2019-02-05T15:08:00Z</dcterms:created>
  <dcterms:modified xsi:type="dcterms:W3CDTF">2019-02-05T16:52:00Z</dcterms:modified>
</cp:coreProperties>
</file>